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0CB" w:rsidRDefault="005C20CB"/>
    <w:p w:rsidR="00CB65B2" w:rsidRDefault="005C20CB" w:rsidP="005C20CB">
      <w:pPr>
        <w:pStyle w:val="BodyText"/>
        <w:rPr>
          <w:sz w:val="32"/>
          <w:szCs w:val="32"/>
        </w:rPr>
      </w:pPr>
      <w:r w:rsidRPr="005C20CB">
        <w:rPr>
          <w:sz w:val="32"/>
          <w:szCs w:val="32"/>
        </w:rPr>
        <w:t>One weakness of this study is that it is not very generalizable, due to the participants not being representative of all children of this age group. This is because… (</w:t>
      </w:r>
      <w:proofErr w:type="gramStart"/>
      <w:r w:rsidRPr="005C20CB">
        <w:rPr>
          <w:sz w:val="32"/>
          <w:szCs w:val="32"/>
        </w:rPr>
        <w:t>insert</w:t>
      </w:r>
      <w:proofErr w:type="gramEnd"/>
      <w:r w:rsidRPr="005C20CB">
        <w:rPr>
          <w:sz w:val="32"/>
          <w:szCs w:val="32"/>
        </w:rPr>
        <w:t xml:space="preserve"> AO1</w:t>
      </w:r>
      <w:r>
        <w:rPr>
          <w:sz w:val="32"/>
          <w:szCs w:val="32"/>
        </w:rPr>
        <w:t xml:space="preserve"> </w:t>
      </w:r>
      <w:r w:rsidRPr="005C20CB">
        <w:rPr>
          <w:sz w:val="32"/>
          <w:szCs w:val="32"/>
        </w:rPr>
        <w:t xml:space="preserve">detail here). This is important because it means that the findings that (insert AO1 here) may not be </w:t>
      </w:r>
      <w:proofErr w:type="spellStart"/>
      <w:r w:rsidRPr="005C20CB">
        <w:rPr>
          <w:sz w:val="32"/>
          <w:szCs w:val="32"/>
        </w:rPr>
        <w:t>gene</w:t>
      </w:r>
      <w:r>
        <w:rPr>
          <w:sz w:val="32"/>
          <w:szCs w:val="32"/>
        </w:rPr>
        <w:t>ral</w:t>
      </w:r>
      <w:r w:rsidRPr="005C20CB">
        <w:rPr>
          <w:sz w:val="32"/>
          <w:szCs w:val="32"/>
        </w:rPr>
        <w:t>i</w:t>
      </w:r>
      <w:r>
        <w:rPr>
          <w:sz w:val="32"/>
          <w:szCs w:val="32"/>
        </w:rPr>
        <w:t>s</w:t>
      </w:r>
      <w:r w:rsidRPr="005C20CB">
        <w:rPr>
          <w:sz w:val="32"/>
          <w:szCs w:val="32"/>
        </w:rPr>
        <w:t>able</w:t>
      </w:r>
      <w:proofErr w:type="spellEnd"/>
      <w:r w:rsidRPr="005C20CB">
        <w:rPr>
          <w:sz w:val="32"/>
          <w:szCs w:val="32"/>
        </w:rPr>
        <w:t xml:space="preserve"> to</w:t>
      </w:r>
      <w:proofErr w:type="gramStart"/>
      <w:r w:rsidRPr="005C20CB">
        <w:rPr>
          <w:sz w:val="32"/>
          <w:szCs w:val="32"/>
        </w:rPr>
        <w:t>..</w:t>
      </w:r>
      <w:proofErr w:type="gramEnd"/>
      <w:r w:rsidRPr="005C20CB">
        <w:rPr>
          <w:sz w:val="32"/>
          <w:szCs w:val="32"/>
        </w:rPr>
        <w:t>(</w:t>
      </w:r>
      <w:proofErr w:type="gramStart"/>
      <w:r w:rsidRPr="005C20CB">
        <w:rPr>
          <w:sz w:val="32"/>
          <w:szCs w:val="32"/>
        </w:rPr>
        <w:t>complete</w:t>
      </w:r>
      <w:proofErr w:type="gramEnd"/>
      <w:r w:rsidRPr="005C20CB">
        <w:rPr>
          <w:sz w:val="32"/>
          <w:szCs w:val="32"/>
        </w:rPr>
        <w:t xml:space="preserve"> the point as you see fit).</w:t>
      </w:r>
    </w:p>
    <w:p w:rsidR="005C20CB" w:rsidRDefault="005C20CB" w:rsidP="005C20CB">
      <w:pPr>
        <w:pStyle w:val="BodyText"/>
        <w:rPr>
          <w:sz w:val="32"/>
          <w:szCs w:val="32"/>
        </w:rPr>
      </w:pPr>
    </w:p>
    <w:p w:rsidR="005C20CB" w:rsidRDefault="005C20CB" w:rsidP="005C20CB">
      <w:pPr>
        <w:pStyle w:val="BodyText"/>
        <w:rPr>
          <w:sz w:val="32"/>
          <w:szCs w:val="32"/>
        </w:rPr>
      </w:pPr>
      <w:r>
        <w:rPr>
          <w:sz w:val="32"/>
          <w:szCs w:val="32"/>
        </w:rPr>
        <w:t xml:space="preserve">The reliability of this study is </w:t>
      </w:r>
      <w:proofErr w:type="gramStart"/>
      <w:r>
        <w:rPr>
          <w:sz w:val="32"/>
          <w:szCs w:val="32"/>
        </w:rPr>
        <w:t>a strength</w:t>
      </w:r>
      <w:proofErr w:type="gramEnd"/>
      <w:r>
        <w:rPr>
          <w:sz w:val="32"/>
          <w:szCs w:val="32"/>
        </w:rPr>
        <w:t xml:space="preserve"> and this is because it is a lab experiment meaning that it has a standardised procedure and therefore is replicable. For example, (insert AO1 detail here about what was controlled in this study, remember you need a balance of AO1 to AO3). This is important because it means that the conclusion that… is not simply the product of chance and if the study was repeated the findings are likely to be very similar.</w:t>
      </w:r>
      <w:bookmarkStart w:id="0" w:name="_GoBack"/>
      <w:bookmarkEnd w:id="0"/>
    </w:p>
    <w:p w:rsidR="005C20CB" w:rsidRDefault="005C20CB">
      <w:pPr>
        <w:rPr>
          <w:sz w:val="32"/>
          <w:szCs w:val="32"/>
        </w:rPr>
      </w:pPr>
      <w:r>
        <w:rPr>
          <w:sz w:val="32"/>
          <w:szCs w:val="32"/>
        </w:rPr>
        <w:br w:type="page"/>
      </w:r>
    </w:p>
    <w:p w:rsidR="005C20CB" w:rsidRDefault="005C20CB" w:rsidP="005C20CB">
      <w:pPr>
        <w:pStyle w:val="BodyText"/>
        <w:rPr>
          <w:sz w:val="32"/>
          <w:szCs w:val="32"/>
        </w:rPr>
      </w:pPr>
    </w:p>
    <w:tbl>
      <w:tblPr>
        <w:tblStyle w:val="TableGrid"/>
        <w:tblW w:w="0" w:type="auto"/>
        <w:tblLook w:val="04A0" w:firstRow="1" w:lastRow="0" w:firstColumn="1" w:lastColumn="0" w:noHBand="0" w:noVBand="1"/>
      </w:tblPr>
      <w:tblGrid>
        <w:gridCol w:w="3080"/>
        <w:gridCol w:w="3081"/>
        <w:gridCol w:w="3081"/>
      </w:tblGrid>
      <w:tr w:rsidR="005C20CB" w:rsidTr="005C20CB">
        <w:tc>
          <w:tcPr>
            <w:tcW w:w="3080"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The one way mirror</w:t>
            </w:r>
          </w:p>
          <w:p w:rsidR="005C20CB" w:rsidRDefault="005C20CB" w:rsidP="005C20CB">
            <w:pPr>
              <w:pStyle w:val="BodyText"/>
              <w:jc w:val="center"/>
              <w:rPr>
                <w:sz w:val="32"/>
                <w:szCs w:val="32"/>
              </w:rPr>
            </w:pPr>
          </w:p>
        </w:tc>
        <w:tc>
          <w:tcPr>
            <w:tcW w:w="3081"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Observing an aggressive adult</w:t>
            </w:r>
          </w:p>
          <w:p w:rsidR="005C20CB" w:rsidRDefault="005C20CB" w:rsidP="005C20CB">
            <w:pPr>
              <w:pStyle w:val="BodyText"/>
              <w:jc w:val="center"/>
              <w:rPr>
                <w:sz w:val="32"/>
                <w:szCs w:val="32"/>
              </w:rPr>
            </w:pPr>
          </w:p>
          <w:p w:rsidR="005C20CB" w:rsidRDefault="005C20CB" w:rsidP="005C20CB">
            <w:pPr>
              <w:pStyle w:val="BodyText"/>
              <w:jc w:val="center"/>
              <w:rPr>
                <w:sz w:val="32"/>
                <w:szCs w:val="32"/>
              </w:rPr>
            </w:pPr>
          </w:p>
          <w:p w:rsidR="005C20CB" w:rsidRDefault="005C20CB" w:rsidP="005C20CB">
            <w:pPr>
              <w:pStyle w:val="BodyText"/>
              <w:jc w:val="center"/>
              <w:rPr>
                <w:sz w:val="32"/>
                <w:szCs w:val="32"/>
              </w:rPr>
            </w:pPr>
          </w:p>
        </w:tc>
        <w:tc>
          <w:tcPr>
            <w:tcW w:w="3081"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The mild aggressive arousal room</w:t>
            </w:r>
          </w:p>
          <w:p w:rsidR="005C20CB" w:rsidRDefault="005C20CB" w:rsidP="005C20CB">
            <w:pPr>
              <w:pStyle w:val="BodyText"/>
              <w:jc w:val="center"/>
              <w:rPr>
                <w:sz w:val="32"/>
                <w:szCs w:val="32"/>
              </w:rPr>
            </w:pPr>
          </w:p>
        </w:tc>
      </w:tr>
      <w:tr w:rsidR="005C20CB" w:rsidTr="005C20CB">
        <w:tc>
          <w:tcPr>
            <w:tcW w:w="3080"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The male model was also an observer</w:t>
            </w:r>
          </w:p>
          <w:p w:rsidR="005C20CB" w:rsidRDefault="005C20CB" w:rsidP="005C20CB">
            <w:pPr>
              <w:pStyle w:val="BodyText"/>
              <w:jc w:val="center"/>
              <w:rPr>
                <w:sz w:val="32"/>
                <w:szCs w:val="32"/>
              </w:rPr>
            </w:pPr>
          </w:p>
        </w:tc>
        <w:tc>
          <w:tcPr>
            <w:tcW w:w="3081"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The observation schedule or pre-determined behaviours that were noted for each child</w:t>
            </w:r>
          </w:p>
          <w:p w:rsidR="005C20CB" w:rsidRDefault="005C20CB" w:rsidP="005C20CB">
            <w:pPr>
              <w:pStyle w:val="BodyText"/>
              <w:jc w:val="center"/>
              <w:rPr>
                <w:sz w:val="32"/>
                <w:szCs w:val="32"/>
              </w:rPr>
            </w:pPr>
          </w:p>
        </w:tc>
        <w:tc>
          <w:tcPr>
            <w:tcW w:w="3081"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Matching the children in the experimental and control groups (4 x 5 point rating scales)</w:t>
            </w:r>
          </w:p>
          <w:p w:rsidR="005C20CB" w:rsidRDefault="005C20CB" w:rsidP="005C20CB">
            <w:pPr>
              <w:pStyle w:val="BodyText"/>
              <w:jc w:val="center"/>
              <w:rPr>
                <w:sz w:val="32"/>
                <w:szCs w:val="32"/>
              </w:rPr>
            </w:pPr>
          </w:p>
        </w:tc>
      </w:tr>
      <w:tr w:rsidR="005C20CB" w:rsidTr="005C20CB">
        <w:tc>
          <w:tcPr>
            <w:tcW w:w="3080"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The inter-rater reliability (half the sample rated by two observers)</w:t>
            </w:r>
          </w:p>
          <w:p w:rsidR="005C20CB" w:rsidRDefault="005C20CB" w:rsidP="005C20CB">
            <w:pPr>
              <w:pStyle w:val="BodyText"/>
              <w:jc w:val="center"/>
              <w:rPr>
                <w:sz w:val="32"/>
                <w:szCs w:val="32"/>
              </w:rPr>
            </w:pPr>
          </w:p>
        </w:tc>
        <w:tc>
          <w:tcPr>
            <w:tcW w:w="3081"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Point sampling every 5 seconds (240 response units)</w:t>
            </w:r>
          </w:p>
          <w:p w:rsidR="005C20CB" w:rsidRDefault="005C20CB" w:rsidP="005C20CB">
            <w:pPr>
              <w:pStyle w:val="BodyText"/>
              <w:jc w:val="center"/>
              <w:rPr>
                <w:sz w:val="32"/>
                <w:szCs w:val="32"/>
              </w:rPr>
            </w:pPr>
          </w:p>
          <w:p w:rsidR="005C20CB" w:rsidRDefault="005C20CB" w:rsidP="005C20CB">
            <w:pPr>
              <w:pStyle w:val="BodyText"/>
              <w:jc w:val="center"/>
              <w:rPr>
                <w:sz w:val="32"/>
                <w:szCs w:val="32"/>
              </w:rPr>
            </w:pPr>
          </w:p>
        </w:tc>
        <w:tc>
          <w:tcPr>
            <w:tcW w:w="3081" w:type="dxa"/>
          </w:tcPr>
          <w:p w:rsidR="005C20CB" w:rsidRDefault="005C20CB" w:rsidP="005C20CB">
            <w:pPr>
              <w:pStyle w:val="BodyText"/>
              <w:jc w:val="center"/>
              <w:rPr>
                <w:sz w:val="32"/>
                <w:szCs w:val="32"/>
              </w:rPr>
            </w:pPr>
          </w:p>
          <w:p w:rsidR="005C20CB" w:rsidRDefault="005C20CB" w:rsidP="005C20CB">
            <w:pPr>
              <w:pStyle w:val="BodyText"/>
              <w:jc w:val="center"/>
              <w:rPr>
                <w:sz w:val="32"/>
                <w:szCs w:val="32"/>
              </w:rPr>
            </w:pPr>
          </w:p>
          <w:p w:rsidR="005C20CB" w:rsidRDefault="005C20CB" w:rsidP="005C20CB">
            <w:pPr>
              <w:pStyle w:val="BodyText"/>
              <w:jc w:val="center"/>
              <w:rPr>
                <w:sz w:val="32"/>
                <w:szCs w:val="32"/>
              </w:rPr>
            </w:pPr>
            <w:r>
              <w:rPr>
                <w:sz w:val="32"/>
                <w:szCs w:val="32"/>
              </w:rPr>
              <w:t xml:space="preserve">The </w:t>
            </w:r>
            <w:r>
              <w:rPr>
                <w:sz w:val="32"/>
                <w:szCs w:val="32"/>
              </w:rPr>
              <w:t xml:space="preserve">72 </w:t>
            </w:r>
            <w:r>
              <w:rPr>
                <w:sz w:val="32"/>
                <w:szCs w:val="32"/>
              </w:rPr>
              <w:t>children were all from Stanford University</w:t>
            </w:r>
          </w:p>
          <w:p w:rsidR="005C20CB" w:rsidRDefault="005C20CB" w:rsidP="005C20CB">
            <w:pPr>
              <w:pStyle w:val="BodyText"/>
              <w:jc w:val="center"/>
              <w:rPr>
                <w:sz w:val="32"/>
                <w:szCs w:val="32"/>
              </w:rPr>
            </w:pPr>
          </w:p>
        </w:tc>
      </w:tr>
    </w:tbl>
    <w:p w:rsidR="005C20CB" w:rsidRDefault="005C20CB" w:rsidP="005C20CB">
      <w:pPr>
        <w:pStyle w:val="BodyText"/>
        <w:rPr>
          <w:sz w:val="32"/>
          <w:szCs w:val="32"/>
        </w:rPr>
      </w:pPr>
    </w:p>
    <w:p w:rsidR="005C20CB" w:rsidRPr="005C20CB" w:rsidRDefault="005C20CB" w:rsidP="005C20CB">
      <w:pPr>
        <w:pStyle w:val="BodyText"/>
        <w:rPr>
          <w:sz w:val="32"/>
          <w:szCs w:val="32"/>
        </w:rPr>
      </w:pPr>
    </w:p>
    <w:sectPr w:rsidR="005C20CB" w:rsidRPr="005C20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3F2D"/>
    <w:multiLevelType w:val="hybridMultilevel"/>
    <w:tmpl w:val="3CBA26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CB"/>
    <w:rsid w:val="005C20CB"/>
    <w:rsid w:val="00B43AD9"/>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5C20CB"/>
    <w:pPr>
      <w:spacing w:after="120"/>
    </w:pPr>
  </w:style>
  <w:style w:type="character" w:customStyle="1" w:styleId="BodyTextChar">
    <w:name w:val="Body Text Char"/>
    <w:basedOn w:val="DefaultParagraphFont"/>
    <w:link w:val="BodyText"/>
    <w:uiPriority w:val="99"/>
    <w:rsid w:val="005C20CB"/>
  </w:style>
  <w:style w:type="table" w:styleId="TableGrid">
    <w:name w:val="Table Grid"/>
    <w:basedOn w:val="TableNormal"/>
    <w:uiPriority w:val="59"/>
    <w:rsid w:val="005C2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5C20CB"/>
    <w:pPr>
      <w:spacing w:after="120"/>
    </w:pPr>
  </w:style>
  <w:style w:type="character" w:customStyle="1" w:styleId="BodyTextChar">
    <w:name w:val="Body Text Char"/>
    <w:basedOn w:val="DefaultParagraphFont"/>
    <w:link w:val="BodyText"/>
    <w:uiPriority w:val="99"/>
    <w:rsid w:val="005C20CB"/>
  </w:style>
  <w:style w:type="table" w:styleId="TableGrid">
    <w:name w:val="Table Grid"/>
    <w:basedOn w:val="TableNormal"/>
    <w:uiPriority w:val="59"/>
    <w:rsid w:val="005C2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191</Words>
  <Characters>1094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2016-09-25T19:55:00Z</dcterms:created>
  <dcterms:modified xsi:type="dcterms:W3CDTF">2016-09-25T20:08:00Z</dcterms:modified>
</cp:coreProperties>
</file>