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1298"/>
        <w:tblW w:w="14742" w:type="dxa"/>
        <w:tblLook w:val="04A0" w:firstRow="1" w:lastRow="0" w:firstColumn="1" w:lastColumn="0" w:noHBand="0" w:noVBand="1"/>
      </w:tblPr>
      <w:tblGrid>
        <w:gridCol w:w="11907"/>
        <w:gridCol w:w="2835"/>
      </w:tblGrid>
      <w:tr w:rsidR="001F02CE" w:rsidTr="001F02CE">
        <w:tc>
          <w:tcPr>
            <w:tcW w:w="11907" w:type="dxa"/>
          </w:tcPr>
          <w:p w:rsidR="001F02CE" w:rsidRPr="001F02CE" w:rsidRDefault="001F02CE" w:rsidP="001F02CE">
            <w:pPr>
              <w:autoSpaceDE w:val="0"/>
              <w:autoSpaceDN w:val="0"/>
              <w:adjustRightInd w:val="0"/>
              <w:rPr>
                <w:rFonts w:ascii="Palatino Linotype" w:hAnsi="Palatino Linotype" w:cs="Verdana"/>
                <w:b/>
                <w:sz w:val="24"/>
                <w:szCs w:val="24"/>
              </w:rPr>
            </w:pPr>
            <w:r w:rsidRPr="001F02CE">
              <w:rPr>
                <w:rFonts w:ascii="Palatino Linotype" w:hAnsi="Palatino Linotype" w:cs="Verdana"/>
                <w:b/>
                <w:sz w:val="24"/>
                <w:szCs w:val="24"/>
              </w:rPr>
              <w:t>Essay fragment</w:t>
            </w:r>
          </w:p>
        </w:tc>
        <w:tc>
          <w:tcPr>
            <w:tcW w:w="2835" w:type="dxa"/>
          </w:tcPr>
          <w:p w:rsidR="001F02CE" w:rsidRPr="009E33AF" w:rsidRDefault="001F02CE" w:rsidP="001F02CE">
            <w:pPr>
              <w:autoSpaceDE w:val="0"/>
              <w:autoSpaceDN w:val="0"/>
              <w:adjustRightInd w:val="0"/>
              <w:rPr>
                <w:rFonts w:ascii="Palatino Linotype" w:hAnsi="Palatino Linotype" w:cs="Verdana"/>
                <w:b/>
                <w:sz w:val="20"/>
                <w:szCs w:val="20"/>
              </w:rPr>
            </w:pPr>
            <w:r>
              <w:rPr>
                <w:rFonts w:ascii="Palatino Linotype" w:hAnsi="Palatino Linotype" w:cs="Verdana"/>
                <w:b/>
                <w:sz w:val="20"/>
                <w:szCs w:val="20"/>
              </w:rPr>
              <w:t>What is going on here?</w:t>
            </w:r>
          </w:p>
        </w:tc>
      </w:tr>
      <w:tr w:rsidR="001F02CE" w:rsidTr="001F02CE">
        <w:tc>
          <w:tcPr>
            <w:tcW w:w="11907" w:type="dxa"/>
          </w:tcPr>
          <w:p w:rsidR="001F02CE" w:rsidRDefault="001F02CE" w:rsidP="001F02CE">
            <w:pPr>
              <w:autoSpaceDE w:val="0"/>
              <w:autoSpaceDN w:val="0"/>
              <w:adjustRightInd w:val="0"/>
              <w:rPr>
                <w:rFonts w:ascii="Palatino Linotype" w:hAnsi="Palatino Linotype" w:cs="Verdana"/>
                <w:b/>
                <w:sz w:val="36"/>
                <w:szCs w:val="36"/>
              </w:rPr>
            </w:pPr>
            <w:proofErr w:type="gramStart"/>
            <w:r w:rsidRPr="00166F85">
              <w:rPr>
                <w:rFonts w:ascii="Palatino Linotype" w:hAnsi="Palatino Linotype" w:cs="Verdana"/>
                <w:sz w:val="24"/>
                <w:szCs w:val="24"/>
              </w:rPr>
              <w:t>One strength</w:t>
            </w:r>
            <w:proofErr w:type="gramEnd"/>
            <w:r w:rsidRPr="00166F85">
              <w:rPr>
                <w:rFonts w:ascii="Palatino Linotype" w:hAnsi="Palatino Linotype" w:cs="Verdana"/>
                <w:sz w:val="24"/>
                <w:szCs w:val="24"/>
              </w:rPr>
              <w:t xml:space="preserve"> of agency theory </w:t>
            </w:r>
            <w:r>
              <w:rPr>
                <w:rFonts w:ascii="Palatino Linotype" w:hAnsi="Palatino Linotype" w:cs="Verdana"/>
                <w:sz w:val="24"/>
                <w:szCs w:val="24"/>
              </w:rPr>
              <w:t>is that the major claims are supported by research evidence, much of which has been conducted in well controlled laboratory setting, suggesting high levels of reliability.</w:t>
            </w:r>
          </w:p>
        </w:tc>
        <w:tc>
          <w:tcPr>
            <w:tcW w:w="2835" w:type="dxa"/>
          </w:tcPr>
          <w:p w:rsidR="001F02CE" w:rsidRPr="009E33AF" w:rsidRDefault="001F02CE" w:rsidP="001F02CE">
            <w:pPr>
              <w:autoSpaceDE w:val="0"/>
              <w:autoSpaceDN w:val="0"/>
              <w:adjustRightInd w:val="0"/>
              <w:rPr>
                <w:rFonts w:ascii="Palatino Linotype" w:hAnsi="Palatino Linotype" w:cs="Verdana"/>
                <w:b/>
                <w:sz w:val="20"/>
                <w:szCs w:val="20"/>
              </w:rPr>
            </w:pPr>
          </w:p>
        </w:tc>
      </w:tr>
      <w:tr w:rsidR="001F02CE" w:rsidTr="001F02CE">
        <w:tc>
          <w:tcPr>
            <w:tcW w:w="11907" w:type="dxa"/>
          </w:tcPr>
          <w:p w:rsidR="001F02CE" w:rsidRPr="008D557C" w:rsidRDefault="001F02CE" w:rsidP="001F02CE">
            <w:pPr>
              <w:pStyle w:val="BodyText"/>
            </w:pPr>
            <w:r>
              <w:rPr>
                <w:rFonts w:ascii="Palatino Linotype" w:hAnsi="Palatino Linotype" w:cs="Verdana"/>
                <w:sz w:val="24"/>
                <w:szCs w:val="24"/>
              </w:rPr>
              <w:t xml:space="preserve">For example, Milgram claimed that that obedience may be viewed as “biologically pre-programmed”, stating that obedience is adaptive, as early humans needed to obey rules in order to maintain social harmony and stable society. </w:t>
            </w:r>
            <w:r w:rsidRPr="008D557C">
              <w:rPr>
                <w:rFonts w:ascii="Palatino Linotype" w:hAnsi="Palatino Linotype"/>
                <w:sz w:val="24"/>
                <w:szCs w:val="24"/>
              </w:rPr>
              <w:t xml:space="preserve">He believed </w:t>
            </w:r>
            <w:r>
              <w:rPr>
                <w:rFonts w:ascii="Palatino Linotype" w:hAnsi="Palatino Linotype"/>
                <w:sz w:val="24"/>
                <w:szCs w:val="24"/>
              </w:rPr>
              <w:t xml:space="preserve">that the ability to make the agentic shift in the face of author had </w:t>
            </w:r>
            <w:r w:rsidRPr="008D557C">
              <w:rPr>
                <w:rFonts w:ascii="Palatino Linotype" w:hAnsi="Palatino Linotype"/>
                <w:sz w:val="24"/>
                <w:szCs w:val="24"/>
              </w:rPr>
              <w:t xml:space="preserve">evolved </w:t>
            </w:r>
            <w:r>
              <w:rPr>
                <w:rFonts w:ascii="Palatino Linotype" w:hAnsi="Palatino Linotype"/>
                <w:sz w:val="24"/>
                <w:szCs w:val="24"/>
              </w:rPr>
              <w:t xml:space="preserve">as </w:t>
            </w:r>
            <w:r w:rsidRPr="008D557C">
              <w:rPr>
                <w:rFonts w:ascii="Palatino Linotype" w:hAnsi="Palatino Linotype"/>
                <w:sz w:val="24"/>
                <w:szCs w:val="24"/>
              </w:rPr>
              <w:t>natural selection would have favoured humans who avoided confrontation by doing as they were told in order to preserve social harmony.</w:t>
            </w:r>
            <w:r w:rsidRPr="006175F1">
              <w:t xml:space="preserve"> </w:t>
            </w:r>
          </w:p>
        </w:tc>
        <w:tc>
          <w:tcPr>
            <w:tcW w:w="2835" w:type="dxa"/>
          </w:tcPr>
          <w:p w:rsidR="001F02CE" w:rsidRPr="009E33AF" w:rsidRDefault="001F02CE" w:rsidP="001F02CE">
            <w:pPr>
              <w:autoSpaceDE w:val="0"/>
              <w:autoSpaceDN w:val="0"/>
              <w:adjustRightInd w:val="0"/>
              <w:rPr>
                <w:rFonts w:ascii="Palatino Linotype" w:hAnsi="Palatino Linotype" w:cs="Verdana"/>
                <w:b/>
                <w:sz w:val="20"/>
                <w:szCs w:val="20"/>
              </w:rPr>
            </w:pPr>
          </w:p>
        </w:tc>
      </w:tr>
      <w:tr w:rsidR="001F02CE" w:rsidTr="001F02CE">
        <w:tc>
          <w:tcPr>
            <w:tcW w:w="11907" w:type="dxa"/>
          </w:tcPr>
          <w:p w:rsidR="001F02CE" w:rsidRPr="009E33AF" w:rsidRDefault="001F02CE" w:rsidP="001F02CE">
            <w:pPr>
              <w:autoSpaceDE w:val="0"/>
              <w:autoSpaceDN w:val="0"/>
              <w:adjustRightInd w:val="0"/>
              <w:rPr>
                <w:rFonts w:ascii="Palatino Linotype" w:hAnsi="Palatino Linotype" w:cs="Verdana"/>
                <w:sz w:val="24"/>
                <w:szCs w:val="24"/>
              </w:rPr>
            </w:pPr>
            <w:r>
              <w:rPr>
                <w:rFonts w:ascii="Palatino Linotype" w:hAnsi="Palatino Linotype" w:cs="Verdana"/>
                <w:sz w:val="24"/>
                <w:szCs w:val="24"/>
              </w:rPr>
              <w:t xml:space="preserve">This claim is supported by the fact that obedience, rather defiance, was the most common behaviour in his famous study where 100% of participants obeyed orders to administer increasingly painful electric shocks to a stranger for making mistakes on a word learning task up to a maximum of 300V, which is enough to kill a person. He also found that a 65% were willing to go all the way to the final switch on the shock generator, (450V). </w:t>
            </w:r>
          </w:p>
        </w:tc>
        <w:tc>
          <w:tcPr>
            <w:tcW w:w="2835" w:type="dxa"/>
          </w:tcPr>
          <w:p w:rsidR="001F02CE" w:rsidRPr="009E33AF" w:rsidRDefault="001F02CE" w:rsidP="001F02CE">
            <w:pPr>
              <w:autoSpaceDE w:val="0"/>
              <w:autoSpaceDN w:val="0"/>
              <w:adjustRightInd w:val="0"/>
              <w:rPr>
                <w:rFonts w:ascii="Palatino Linotype" w:hAnsi="Palatino Linotype" w:cs="Verdana"/>
                <w:b/>
                <w:sz w:val="20"/>
                <w:szCs w:val="20"/>
              </w:rPr>
            </w:pPr>
          </w:p>
        </w:tc>
      </w:tr>
      <w:tr w:rsidR="001F02CE" w:rsidTr="001F02CE">
        <w:tc>
          <w:tcPr>
            <w:tcW w:w="11907" w:type="dxa"/>
          </w:tcPr>
          <w:p w:rsidR="001F02CE" w:rsidRPr="009E33AF" w:rsidRDefault="001F02CE" w:rsidP="001F02CE">
            <w:pPr>
              <w:autoSpaceDE w:val="0"/>
              <w:autoSpaceDN w:val="0"/>
              <w:adjustRightInd w:val="0"/>
              <w:rPr>
                <w:rFonts w:ascii="Palatino Linotype" w:hAnsi="Palatino Linotype" w:cs="Verdana"/>
                <w:sz w:val="24"/>
                <w:szCs w:val="24"/>
              </w:rPr>
            </w:pPr>
            <w:r w:rsidRPr="009E33AF">
              <w:rPr>
                <w:rFonts w:ascii="Palatino Linotype" w:hAnsi="Palatino Linotype" w:cs="Verdana"/>
                <w:sz w:val="24"/>
                <w:szCs w:val="24"/>
              </w:rPr>
              <w:t xml:space="preserve">This evidence is important as it shows that </w:t>
            </w:r>
            <w:r>
              <w:rPr>
                <w:rFonts w:ascii="Palatino Linotype" w:hAnsi="Palatino Linotype" w:cs="Verdana"/>
                <w:sz w:val="24"/>
                <w:szCs w:val="24"/>
              </w:rPr>
              <w:t xml:space="preserve">despite individual differences in personalities, gender and cultural background for example, obedience was the usual response for all participants demonstrating that Milgram’s claim about obedience being innate may be correct. </w:t>
            </w:r>
          </w:p>
        </w:tc>
        <w:tc>
          <w:tcPr>
            <w:tcW w:w="2835" w:type="dxa"/>
          </w:tcPr>
          <w:p w:rsidR="001F02CE" w:rsidRPr="009E33AF" w:rsidRDefault="001F02CE" w:rsidP="001F02CE">
            <w:pPr>
              <w:autoSpaceDE w:val="0"/>
              <w:autoSpaceDN w:val="0"/>
              <w:adjustRightInd w:val="0"/>
              <w:rPr>
                <w:rFonts w:ascii="Palatino Linotype" w:hAnsi="Palatino Linotype" w:cs="Verdana"/>
                <w:b/>
                <w:sz w:val="20"/>
                <w:szCs w:val="20"/>
              </w:rPr>
            </w:pPr>
          </w:p>
        </w:tc>
      </w:tr>
    </w:tbl>
    <w:p w:rsidR="001F02CE" w:rsidRPr="001F02CE" w:rsidRDefault="001F02CE" w:rsidP="001F02CE">
      <w:pPr>
        <w:pStyle w:val="Heading1"/>
        <w:rPr>
          <w:rFonts w:ascii="Lucida Handwriting" w:eastAsiaTheme="minorHAnsi" w:hAnsi="Lucida Handwriting" w:cstheme="minorBidi"/>
          <w:b w:val="0"/>
          <w:bCs w:val="0"/>
          <w:color w:val="auto"/>
          <w:sz w:val="36"/>
          <w:szCs w:val="36"/>
        </w:rPr>
      </w:pPr>
      <w:r w:rsidRPr="001F02CE">
        <w:rPr>
          <w:rFonts w:ascii="Lucida Handwriting" w:hAnsi="Lucida Handwriting"/>
          <w:b w:val="0"/>
          <w:color w:val="auto"/>
          <w:sz w:val="36"/>
          <w:szCs w:val="36"/>
        </w:rPr>
        <w:t xml:space="preserve"> </w:t>
      </w:r>
      <w:r w:rsidRPr="001F02CE">
        <w:rPr>
          <w:rFonts w:ascii="Lucida Handwriting" w:hAnsi="Lucida Handwriting"/>
          <w:b w:val="0"/>
          <w:color w:val="auto"/>
          <w:sz w:val="36"/>
          <w:szCs w:val="36"/>
        </w:rPr>
        <w:t>Evaluate Agency theory</w:t>
      </w:r>
      <w:r w:rsidRPr="001F02CE">
        <w:rPr>
          <w:rFonts w:ascii="Lucida Handwriting" w:eastAsiaTheme="minorHAnsi" w:hAnsi="Lucida Handwriting" w:cstheme="minorBidi"/>
          <w:b w:val="0"/>
          <w:bCs w:val="0"/>
          <w:color w:val="auto"/>
          <w:sz w:val="36"/>
          <w:szCs w:val="36"/>
        </w:rPr>
        <w:t xml:space="preserve"> </w:t>
      </w:r>
      <w:r>
        <w:rPr>
          <w:rFonts w:ascii="Lucida Handwriting" w:eastAsiaTheme="minorHAnsi" w:hAnsi="Lucida Handwriting" w:cstheme="minorBidi"/>
          <w:b w:val="0"/>
          <w:bCs w:val="0"/>
          <w:color w:val="auto"/>
          <w:sz w:val="36"/>
          <w:szCs w:val="36"/>
        </w:rPr>
        <w:t xml:space="preserve">(written for </w:t>
      </w:r>
      <w:proofErr w:type="spellStart"/>
      <w:r>
        <w:rPr>
          <w:rFonts w:ascii="Lucida Handwriting" w:eastAsiaTheme="minorHAnsi" w:hAnsi="Lucida Handwriting" w:cstheme="minorBidi"/>
          <w:b w:val="0"/>
          <w:bCs w:val="0"/>
          <w:color w:val="auto"/>
          <w:sz w:val="36"/>
          <w:szCs w:val="36"/>
        </w:rPr>
        <w:t>bandmarking</w:t>
      </w:r>
      <w:proofErr w:type="spellEnd"/>
      <w:r>
        <w:rPr>
          <w:rFonts w:ascii="Lucida Handwriting" w:eastAsiaTheme="minorHAnsi" w:hAnsi="Lucida Handwriting" w:cstheme="minorBidi"/>
          <w:b w:val="0"/>
          <w:bCs w:val="0"/>
          <w:color w:val="auto"/>
          <w:sz w:val="36"/>
          <w:szCs w:val="36"/>
        </w:rPr>
        <w:t>)</w:t>
      </w:r>
      <w:bookmarkStart w:id="0" w:name="_GoBack"/>
      <w:bookmarkEnd w:id="0"/>
      <w:r w:rsidRPr="001F02CE">
        <w:rPr>
          <w:rFonts w:ascii="Lucida Handwriting" w:eastAsiaTheme="minorHAnsi" w:hAnsi="Lucida Handwriting" w:cstheme="minorBidi"/>
          <w:b w:val="0"/>
          <w:bCs w:val="0"/>
          <w:color w:val="auto"/>
          <w:sz w:val="36"/>
          <w:szCs w:val="36"/>
        </w:rPr>
        <w:br w:type="page"/>
      </w:r>
    </w:p>
    <w:p w:rsidR="001F02CE" w:rsidRDefault="001F02CE"/>
    <w:tbl>
      <w:tblPr>
        <w:tblStyle w:val="TableGrid"/>
        <w:tblpPr w:leftFromText="180" w:rightFromText="180" w:vertAnchor="text" w:horzAnchor="page" w:tblpX="1477" w:tblpY="77"/>
        <w:tblW w:w="14709" w:type="dxa"/>
        <w:tblLook w:val="04A0" w:firstRow="1" w:lastRow="0" w:firstColumn="1" w:lastColumn="0" w:noHBand="0" w:noVBand="1"/>
      </w:tblPr>
      <w:tblGrid>
        <w:gridCol w:w="11874"/>
        <w:gridCol w:w="2835"/>
      </w:tblGrid>
      <w:tr w:rsidR="002F4DBE" w:rsidTr="001F02CE">
        <w:tc>
          <w:tcPr>
            <w:tcW w:w="11874" w:type="dxa"/>
          </w:tcPr>
          <w:p w:rsidR="002F4DBE" w:rsidRPr="009E33AF" w:rsidRDefault="002F4DBE" w:rsidP="001F02CE">
            <w:pPr>
              <w:autoSpaceDE w:val="0"/>
              <w:autoSpaceDN w:val="0"/>
              <w:adjustRightInd w:val="0"/>
              <w:rPr>
                <w:rFonts w:ascii="Palatino Linotype" w:hAnsi="Palatino Linotype" w:cs="Verdana"/>
                <w:sz w:val="24"/>
                <w:szCs w:val="24"/>
              </w:rPr>
            </w:pPr>
            <w:r>
              <w:rPr>
                <w:rFonts w:ascii="Palatino Linotype" w:hAnsi="Palatino Linotype" w:cs="Verdana"/>
                <w:sz w:val="24"/>
                <w:szCs w:val="24"/>
              </w:rPr>
              <w:t xml:space="preserve">So on the one hand it may seem that the research evidence supports the idea that the majority of people make the agentic shift in the face of a perceived legitimate authority figure, however, Milgram’s research has been criticised by </w:t>
            </w:r>
            <w:proofErr w:type="spellStart"/>
            <w:r>
              <w:rPr>
                <w:rFonts w:ascii="Palatino Linotype" w:hAnsi="Palatino Linotype" w:cs="Verdana"/>
                <w:sz w:val="24"/>
                <w:szCs w:val="24"/>
              </w:rPr>
              <w:t>Orne</w:t>
            </w:r>
            <w:proofErr w:type="spellEnd"/>
            <w:r>
              <w:rPr>
                <w:rFonts w:ascii="Palatino Linotype" w:hAnsi="Palatino Linotype" w:cs="Verdana"/>
                <w:sz w:val="24"/>
                <w:szCs w:val="24"/>
              </w:rPr>
              <w:t xml:space="preserve"> and Holland who say that giving electric shocks is an artificial task that is not part of the everyday experience of most people and therefore the high levels of obedience may not be seen in situations which are more natural.</w:t>
            </w:r>
          </w:p>
        </w:tc>
        <w:tc>
          <w:tcPr>
            <w:tcW w:w="2835" w:type="dxa"/>
          </w:tcPr>
          <w:p w:rsidR="002F4DBE" w:rsidRPr="009E33AF"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Default="002F4DBE" w:rsidP="001F02CE">
            <w:pPr>
              <w:autoSpaceDE w:val="0"/>
              <w:autoSpaceDN w:val="0"/>
              <w:adjustRightInd w:val="0"/>
              <w:rPr>
                <w:rFonts w:ascii="Palatino Linotype" w:hAnsi="Palatino Linotype" w:cs="Verdana"/>
                <w:sz w:val="24"/>
                <w:szCs w:val="24"/>
              </w:rPr>
            </w:pPr>
            <w:r>
              <w:rPr>
                <w:rFonts w:ascii="Palatino Linotype" w:hAnsi="Palatino Linotype" w:cs="Verdana"/>
                <w:sz w:val="24"/>
                <w:szCs w:val="24"/>
              </w:rPr>
              <w:t xml:space="preserve">However, this claim is refuted by research evidence such as that of </w:t>
            </w:r>
            <w:proofErr w:type="spellStart"/>
            <w:r>
              <w:rPr>
                <w:rFonts w:ascii="Palatino Linotype" w:hAnsi="Palatino Linotype" w:cs="Verdana"/>
                <w:sz w:val="24"/>
                <w:szCs w:val="24"/>
              </w:rPr>
              <w:t>Hofling</w:t>
            </w:r>
            <w:proofErr w:type="spellEnd"/>
            <w:r>
              <w:rPr>
                <w:rFonts w:ascii="Palatino Linotype" w:hAnsi="Palatino Linotype" w:cs="Verdana"/>
                <w:sz w:val="24"/>
                <w:szCs w:val="24"/>
              </w:rPr>
              <w:t xml:space="preserve"> (1966) who found that 95% of nurses would obey an order over the phone given by an unknown doctor, to administer a double dose of an unknown drug (</w:t>
            </w:r>
            <w:proofErr w:type="spellStart"/>
            <w:r>
              <w:rPr>
                <w:rFonts w:ascii="Palatino Linotype" w:hAnsi="Palatino Linotype" w:cs="Verdana"/>
                <w:sz w:val="24"/>
                <w:szCs w:val="24"/>
              </w:rPr>
              <w:t>Astroten</w:t>
            </w:r>
            <w:proofErr w:type="spellEnd"/>
            <w:r>
              <w:rPr>
                <w:rFonts w:ascii="Palatino Linotype" w:hAnsi="Palatino Linotype" w:cs="Verdana"/>
                <w:sz w:val="24"/>
                <w:szCs w:val="24"/>
              </w:rPr>
              <w:t>) thus breaking four of their ward rules. This is a very high rate of obedience in a real life setting with high ecological validity, suggesting that those who doubted the credibility of Milgram’s original finding may have been mistaken.</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Default="002F4DBE" w:rsidP="001F02CE">
            <w:pPr>
              <w:autoSpaceDE w:val="0"/>
              <w:autoSpaceDN w:val="0"/>
              <w:adjustRightInd w:val="0"/>
              <w:rPr>
                <w:rFonts w:ascii="Palatino Linotype" w:hAnsi="Palatino Linotype" w:cs="Verdana"/>
                <w:sz w:val="24"/>
                <w:szCs w:val="24"/>
              </w:rPr>
            </w:pPr>
            <w:r>
              <w:rPr>
                <w:rFonts w:ascii="Palatino Linotype" w:hAnsi="Palatino Linotype" w:cs="Verdana"/>
                <w:sz w:val="24"/>
                <w:szCs w:val="24"/>
              </w:rPr>
              <w:t xml:space="preserve">This said both Milgram and </w:t>
            </w:r>
            <w:proofErr w:type="spellStart"/>
            <w:r>
              <w:rPr>
                <w:rFonts w:ascii="Palatino Linotype" w:hAnsi="Palatino Linotype" w:cs="Verdana"/>
                <w:sz w:val="24"/>
                <w:szCs w:val="24"/>
              </w:rPr>
              <w:t>Hofling’s</w:t>
            </w:r>
            <w:proofErr w:type="spellEnd"/>
            <w:r>
              <w:rPr>
                <w:rFonts w:ascii="Palatino Linotype" w:hAnsi="Palatino Linotype" w:cs="Verdana"/>
                <w:sz w:val="24"/>
                <w:szCs w:val="24"/>
              </w:rPr>
              <w:t xml:space="preserve"> work was conducted in the USA and therefore it could be argued that the evidence base for the theory is flawed as it is ethnocentric. In order to truly establish whether obedience is a universal feature of human nature due to its survival value, the results of cross cultural studies must be considered. </w:t>
            </w:r>
            <w:r>
              <w:rPr>
                <w:rFonts w:ascii="Palatino Linotype" w:hAnsi="Palatino Linotype"/>
                <w:sz w:val="24"/>
                <w:szCs w:val="24"/>
              </w:rPr>
              <w:t xml:space="preserve">One would expect to find little </w:t>
            </w:r>
            <w:r w:rsidRPr="00166F85">
              <w:rPr>
                <w:rFonts w:ascii="Palatino Linotype" w:hAnsi="Palatino Linotype"/>
                <w:sz w:val="24"/>
                <w:szCs w:val="24"/>
              </w:rPr>
              <w:t xml:space="preserve">difference in levels </w:t>
            </w:r>
            <w:r>
              <w:rPr>
                <w:rFonts w:ascii="Palatino Linotype" w:hAnsi="Palatino Linotype"/>
                <w:sz w:val="24"/>
                <w:szCs w:val="24"/>
              </w:rPr>
              <w:t>of obedience cross-culturally despite differing beliefs and values.</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Default="002F4DBE" w:rsidP="001F02CE">
            <w:pPr>
              <w:autoSpaceDE w:val="0"/>
              <w:autoSpaceDN w:val="0"/>
              <w:adjustRightInd w:val="0"/>
              <w:rPr>
                <w:rFonts w:ascii="Palatino Linotype" w:hAnsi="Palatino Linotype" w:cs="Verdana"/>
                <w:sz w:val="24"/>
                <w:szCs w:val="24"/>
              </w:rPr>
            </w:pPr>
            <w:r w:rsidRPr="00166F85">
              <w:rPr>
                <w:rFonts w:ascii="Palatino Linotype" w:hAnsi="Palatino Linotype"/>
                <w:sz w:val="24"/>
                <w:szCs w:val="24"/>
              </w:rPr>
              <w:t xml:space="preserve">This is also supported as many studies </w:t>
            </w:r>
            <w:r>
              <w:rPr>
                <w:rFonts w:ascii="Palatino Linotype" w:hAnsi="Palatino Linotype"/>
                <w:sz w:val="24"/>
                <w:szCs w:val="24"/>
              </w:rPr>
              <w:t xml:space="preserve">return very similar </w:t>
            </w:r>
            <w:r w:rsidRPr="00166F85">
              <w:rPr>
                <w:rFonts w:ascii="Palatino Linotype" w:hAnsi="Palatino Linotype"/>
                <w:sz w:val="24"/>
                <w:szCs w:val="24"/>
              </w:rPr>
              <w:t xml:space="preserve">obedience rates, e.g. in Italy the rate was 80% in the study by Ancona and </w:t>
            </w:r>
            <w:proofErr w:type="spellStart"/>
            <w:r w:rsidRPr="00166F85">
              <w:rPr>
                <w:rFonts w:ascii="Palatino Linotype" w:hAnsi="Palatino Linotype"/>
                <w:sz w:val="24"/>
                <w:szCs w:val="24"/>
              </w:rPr>
              <w:t>Pareyson</w:t>
            </w:r>
            <w:proofErr w:type="spellEnd"/>
            <w:r w:rsidRPr="00166F85">
              <w:rPr>
                <w:rFonts w:ascii="Palatino Linotype" w:hAnsi="Palatino Linotype"/>
                <w:sz w:val="24"/>
                <w:szCs w:val="24"/>
              </w:rPr>
              <w:t xml:space="preserve"> and in Holland the rate was 92% (Meeus and </w:t>
            </w:r>
            <w:proofErr w:type="spellStart"/>
            <w:r w:rsidRPr="00166F85">
              <w:rPr>
                <w:rFonts w:ascii="Palatino Linotype" w:hAnsi="Palatino Linotype"/>
                <w:sz w:val="24"/>
                <w:szCs w:val="24"/>
              </w:rPr>
              <w:t>Raaijmakers</w:t>
            </w:r>
            <w:proofErr w:type="spellEnd"/>
            <w:r w:rsidRPr="00166F85">
              <w:rPr>
                <w:rFonts w:ascii="Palatino Linotype" w:hAnsi="Palatino Linotype"/>
                <w:sz w:val="24"/>
                <w:szCs w:val="24"/>
              </w:rPr>
              <w:t>, 1986). These are both individualist cultures which arguably value personal autonomy and independence yet they are very high obedience rates suggesting that obedience may be due to nature not nurture as Milgram says.</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Pr="00166F85" w:rsidRDefault="002F4DBE" w:rsidP="001F02CE">
            <w:pPr>
              <w:autoSpaceDE w:val="0"/>
              <w:autoSpaceDN w:val="0"/>
              <w:adjustRightInd w:val="0"/>
              <w:rPr>
                <w:rFonts w:ascii="Palatino Linotype" w:hAnsi="Palatino Linotype"/>
                <w:sz w:val="24"/>
                <w:szCs w:val="24"/>
              </w:rPr>
            </w:pPr>
            <w:r>
              <w:rPr>
                <w:rFonts w:ascii="Palatino Linotype" w:hAnsi="Palatino Linotype"/>
                <w:sz w:val="24"/>
                <w:szCs w:val="24"/>
              </w:rPr>
              <w:t>In contrast, it should be noted however, that</w:t>
            </w:r>
            <w:r w:rsidRPr="00166F85">
              <w:rPr>
                <w:rFonts w:ascii="Palatino Linotype" w:hAnsi="Palatino Linotype" w:cs="Verdana"/>
                <w:sz w:val="24"/>
                <w:szCs w:val="24"/>
              </w:rPr>
              <w:t xml:space="preserve"> some studies do show intriguing cultural differences, such as </w:t>
            </w:r>
            <w:proofErr w:type="spellStart"/>
            <w:r w:rsidRPr="00166F85">
              <w:rPr>
                <w:rFonts w:ascii="Palatino Linotype" w:hAnsi="Palatino Linotype"/>
                <w:sz w:val="24"/>
                <w:szCs w:val="24"/>
              </w:rPr>
              <w:t>Kilham</w:t>
            </w:r>
            <w:proofErr w:type="spellEnd"/>
            <w:r w:rsidRPr="00166F85">
              <w:rPr>
                <w:rFonts w:ascii="Palatino Linotype" w:hAnsi="Palatino Linotype"/>
                <w:sz w:val="24"/>
                <w:szCs w:val="24"/>
              </w:rPr>
              <w:t xml:space="preserve"> and Mann </w:t>
            </w:r>
            <w:r>
              <w:rPr>
                <w:rFonts w:ascii="Palatino Linotype" w:hAnsi="Palatino Linotype"/>
                <w:sz w:val="24"/>
                <w:szCs w:val="24"/>
              </w:rPr>
              <w:t xml:space="preserve">(1974) who </w:t>
            </w:r>
            <w:r w:rsidRPr="00166F85">
              <w:rPr>
                <w:rFonts w:ascii="Palatino Linotype" w:hAnsi="Palatino Linotype"/>
                <w:sz w:val="24"/>
                <w:szCs w:val="24"/>
              </w:rPr>
              <w:t>found a much lower than expected obedience rate in their study in Australia, (males 40% and females 16%, average 28%).</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Default="002F4DBE" w:rsidP="001F02CE">
            <w:pPr>
              <w:autoSpaceDE w:val="0"/>
              <w:autoSpaceDN w:val="0"/>
              <w:adjustRightInd w:val="0"/>
              <w:rPr>
                <w:rFonts w:ascii="Palatino Linotype" w:hAnsi="Palatino Linotype"/>
                <w:sz w:val="24"/>
                <w:szCs w:val="24"/>
              </w:rPr>
            </w:pPr>
            <w:r w:rsidRPr="00166F85">
              <w:rPr>
                <w:rFonts w:ascii="Palatino Linotype" w:hAnsi="Palatino Linotype"/>
                <w:sz w:val="24"/>
                <w:szCs w:val="24"/>
              </w:rPr>
              <w:t xml:space="preserve">This demonstrates that Milgram’s other claim, that socialisation </w:t>
            </w:r>
            <w:r>
              <w:rPr>
                <w:rFonts w:ascii="Palatino Linotype" w:hAnsi="Palatino Linotype"/>
                <w:sz w:val="24"/>
                <w:szCs w:val="24"/>
              </w:rPr>
              <w:t>i</w:t>
            </w:r>
            <w:r w:rsidRPr="00166F85">
              <w:rPr>
                <w:rFonts w:ascii="Palatino Linotype" w:hAnsi="Palatino Linotype"/>
                <w:sz w:val="24"/>
                <w:szCs w:val="24"/>
              </w:rPr>
              <w:t>s also important in shaping obedience may also have some support as there is a degree of variation across cultures.</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bl>
    <w:p w:rsidR="001F02CE" w:rsidRDefault="001F02CE">
      <w:r>
        <w:br w:type="page"/>
      </w:r>
    </w:p>
    <w:tbl>
      <w:tblPr>
        <w:tblStyle w:val="TableGrid"/>
        <w:tblpPr w:leftFromText="180" w:rightFromText="180" w:vertAnchor="text" w:horzAnchor="page" w:tblpX="1477" w:tblpY="77"/>
        <w:tblW w:w="14709" w:type="dxa"/>
        <w:tblLook w:val="04A0" w:firstRow="1" w:lastRow="0" w:firstColumn="1" w:lastColumn="0" w:noHBand="0" w:noVBand="1"/>
      </w:tblPr>
      <w:tblGrid>
        <w:gridCol w:w="11874"/>
        <w:gridCol w:w="2835"/>
      </w:tblGrid>
      <w:tr w:rsidR="002F4DBE" w:rsidTr="001F02CE">
        <w:tc>
          <w:tcPr>
            <w:tcW w:w="11874" w:type="dxa"/>
          </w:tcPr>
          <w:p w:rsidR="002F4DBE" w:rsidRPr="00166F85" w:rsidRDefault="002F4DBE" w:rsidP="001F02CE">
            <w:pPr>
              <w:pStyle w:val="BodyText"/>
              <w:rPr>
                <w:rFonts w:ascii="Palatino Linotype" w:hAnsi="Palatino Linotype"/>
                <w:sz w:val="24"/>
                <w:szCs w:val="24"/>
              </w:rPr>
            </w:pPr>
            <w:r w:rsidRPr="00166F85">
              <w:rPr>
                <w:rFonts w:ascii="Palatino Linotype" w:hAnsi="Palatino Linotype"/>
                <w:sz w:val="24"/>
                <w:szCs w:val="24"/>
              </w:rPr>
              <w:lastRenderedPageBreak/>
              <w:t>Some of Milgram’s other claims are also supported by the research for example he argues that when faced with legitimate author</w:t>
            </w:r>
            <w:r>
              <w:rPr>
                <w:rFonts w:ascii="Palatino Linotype" w:hAnsi="Palatino Linotype"/>
                <w:sz w:val="24"/>
                <w:szCs w:val="24"/>
              </w:rPr>
              <w:t>ity</w:t>
            </w:r>
            <w:r w:rsidRPr="00166F85">
              <w:rPr>
                <w:rFonts w:ascii="Palatino Linotype" w:hAnsi="Palatino Linotype"/>
                <w:sz w:val="24"/>
                <w:szCs w:val="24"/>
              </w:rPr>
              <w:t xml:space="preserve"> people make the agentic shift from the autonomous state (where they behave independently and make their own decisions about how to behave based on their sense of right and wrong) to the agentic state (where they act on behalf of the authority figure and absolve themselves of responsibility). </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Pr="00166F85" w:rsidRDefault="002F4DBE" w:rsidP="001F02CE">
            <w:pPr>
              <w:pStyle w:val="BodyText"/>
              <w:rPr>
                <w:rFonts w:ascii="Palatino Linotype" w:hAnsi="Palatino Linotype"/>
                <w:sz w:val="24"/>
                <w:szCs w:val="24"/>
              </w:rPr>
            </w:pPr>
            <w:r w:rsidRPr="00166F85">
              <w:rPr>
                <w:rFonts w:ascii="Palatino Linotype" w:hAnsi="Palatino Linotype"/>
                <w:sz w:val="24"/>
                <w:szCs w:val="24"/>
              </w:rPr>
              <w:t xml:space="preserve">His idea that authority must be perceived as legitimate is supported by his variation study where he found that </w:t>
            </w:r>
            <w:r>
              <w:rPr>
                <w:rFonts w:ascii="Palatino Linotype" w:hAnsi="Palatino Linotype"/>
                <w:sz w:val="24"/>
                <w:szCs w:val="24"/>
              </w:rPr>
              <w:t>only 47.5% of people obeyed when the study was removed to a less prestigious setting in Bridgeport and also when the experimenter was exchanged for an ordinary man giving orders, who has not authority over the participant, the rate went down to just 20%.</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Pr="00166F85" w:rsidRDefault="002F4DBE" w:rsidP="001F02CE">
            <w:pPr>
              <w:pStyle w:val="BodyText"/>
              <w:rPr>
                <w:rFonts w:ascii="Palatino Linotype" w:hAnsi="Palatino Linotype"/>
                <w:sz w:val="24"/>
                <w:szCs w:val="24"/>
              </w:rPr>
            </w:pPr>
            <w:r>
              <w:rPr>
                <w:rFonts w:ascii="Palatino Linotype" w:hAnsi="Palatino Linotype"/>
                <w:sz w:val="24"/>
                <w:szCs w:val="24"/>
              </w:rPr>
              <w:t xml:space="preserve">Likewise, the idea that we may commit acts of destructive obedience due to the fact that we absolve ourselves of responsibility when in the agentic state and assume that blame lies with the authority figure is supported by the fact that when </w:t>
            </w:r>
            <w:proofErr w:type="spellStart"/>
            <w:r>
              <w:rPr>
                <w:rFonts w:ascii="Palatino Linotype" w:hAnsi="Palatino Linotype"/>
                <w:sz w:val="24"/>
                <w:szCs w:val="24"/>
              </w:rPr>
              <w:t>Pps</w:t>
            </w:r>
            <w:proofErr w:type="spellEnd"/>
            <w:r>
              <w:rPr>
                <w:rFonts w:ascii="Palatino Linotype" w:hAnsi="Palatino Linotype"/>
                <w:sz w:val="24"/>
                <w:szCs w:val="24"/>
              </w:rPr>
              <w:t xml:space="preserve"> were in the same room as the learner and confronted more starkly with the immediate consequences of their actions, the obedience rate also dropped significantly to 40% and 30% when they had to hold his hand down onto the shock plate.</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Pr="00166F85" w:rsidRDefault="002F4DBE" w:rsidP="001F02CE">
            <w:pPr>
              <w:pStyle w:val="BodyText"/>
              <w:rPr>
                <w:rFonts w:ascii="Palatino Linotype" w:hAnsi="Palatino Linotype"/>
                <w:sz w:val="24"/>
                <w:szCs w:val="24"/>
              </w:rPr>
            </w:pPr>
            <w:r>
              <w:rPr>
                <w:rFonts w:ascii="Palatino Linotype" w:hAnsi="Palatino Linotype"/>
                <w:sz w:val="24"/>
                <w:szCs w:val="24"/>
              </w:rPr>
              <w:t xml:space="preserve">So it is clear to see there is much evidence from research studies to support </w:t>
            </w:r>
            <w:proofErr w:type="spellStart"/>
            <w:r>
              <w:rPr>
                <w:rFonts w:ascii="Palatino Linotype" w:hAnsi="Palatino Linotype"/>
                <w:sz w:val="24"/>
                <w:szCs w:val="24"/>
              </w:rPr>
              <w:t>Mulgeam</w:t>
            </w:r>
            <w:proofErr w:type="gramStart"/>
            <w:r>
              <w:rPr>
                <w:rFonts w:ascii="Palatino Linotype" w:hAnsi="Palatino Linotype"/>
                <w:sz w:val="24"/>
                <w:szCs w:val="24"/>
              </w:rPr>
              <w:t>;s</w:t>
            </w:r>
            <w:proofErr w:type="spellEnd"/>
            <w:proofErr w:type="gramEnd"/>
            <w:r>
              <w:rPr>
                <w:rFonts w:ascii="Palatino Linotype" w:hAnsi="Palatino Linotype"/>
                <w:sz w:val="24"/>
                <w:szCs w:val="24"/>
              </w:rPr>
              <w:t xml:space="preserve"> agency theory however, Milgram’s theory is also able to account for real life </w:t>
            </w:r>
            <w:proofErr w:type="spellStart"/>
            <w:r>
              <w:rPr>
                <w:rFonts w:ascii="Palatino Linotype" w:hAnsi="Palatino Linotype"/>
                <w:sz w:val="24"/>
                <w:szCs w:val="24"/>
              </w:rPr>
              <w:t>evetns</w:t>
            </w:r>
            <w:proofErr w:type="spellEnd"/>
            <w:r>
              <w:rPr>
                <w:rFonts w:ascii="Palatino Linotype" w:hAnsi="Palatino Linotype"/>
                <w:sz w:val="24"/>
                <w:szCs w:val="24"/>
              </w:rPr>
              <w:t xml:space="preserve"> and this is a further strength of his work.</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Pr="00D352BE" w:rsidRDefault="002F4DBE" w:rsidP="001F02CE">
            <w:pPr>
              <w:pStyle w:val="BodyText"/>
              <w:rPr>
                <w:rFonts w:ascii="Palatino Linotype" w:hAnsi="Palatino Linotype"/>
                <w:sz w:val="24"/>
                <w:szCs w:val="24"/>
              </w:rPr>
            </w:pPr>
            <w:r w:rsidRPr="00D352BE">
              <w:rPr>
                <w:rFonts w:ascii="Palatino Linotype" w:hAnsi="Palatino Linotype"/>
                <w:sz w:val="24"/>
                <w:szCs w:val="24"/>
              </w:rPr>
              <w:t>For example, Zimbardo argued that the soldiers who committed atrocities against the Iraqi prisoners in Abu Ghraib were in the agentic state and they were not evil personalities</w:t>
            </w:r>
            <w:r>
              <w:rPr>
                <w:rFonts w:ascii="Palatino Linotype" w:hAnsi="Palatino Linotype"/>
                <w:sz w:val="24"/>
                <w:szCs w:val="24"/>
              </w:rPr>
              <w:t xml:space="preserve"> or bad apples as some others had argued. </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Pr="00D352BE" w:rsidRDefault="002F4DBE" w:rsidP="001F02CE">
            <w:pPr>
              <w:pStyle w:val="BodyText"/>
              <w:rPr>
                <w:rFonts w:ascii="Palatino Linotype" w:hAnsi="Palatino Linotype"/>
                <w:sz w:val="24"/>
                <w:szCs w:val="24"/>
              </w:rPr>
            </w:pPr>
            <w:r w:rsidRPr="00D352BE">
              <w:rPr>
                <w:rFonts w:ascii="Palatino Linotype" w:hAnsi="Palatino Linotype"/>
                <w:sz w:val="24"/>
                <w:szCs w:val="24"/>
              </w:rPr>
              <w:t>This said, Milgram’s theory does not explain very well why some people are actually defiant when faced with authority.</w:t>
            </w:r>
            <w:r>
              <w:rPr>
                <w:rFonts w:ascii="Palatino Linotype" w:hAnsi="Palatino Linotype"/>
                <w:sz w:val="24"/>
                <w:szCs w:val="24"/>
              </w:rPr>
              <w:t xml:space="preserve"> For example, 35% of </w:t>
            </w:r>
            <w:proofErr w:type="spellStart"/>
            <w:r>
              <w:rPr>
                <w:rFonts w:ascii="Palatino Linotype" w:hAnsi="Palatino Linotype"/>
                <w:sz w:val="24"/>
                <w:szCs w:val="24"/>
              </w:rPr>
              <w:t>Pps</w:t>
            </w:r>
            <w:proofErr w:type="spellEnd"/>
            <w:r>
              <w:rPr>
                <w:rFonts w:ascii="Palatino Linotype" w:hAnsi="Palatino Linotype"/>
                <w:sz w:val="24"/>
                <w:szCs w:val="24"/>
              </w:rPr>
              <w:t xml:space="preserve"> in Milgram’s study and one nurse in </w:t>
            </w:r>
            <w:proofErr w:type="spellStart"/>
            <w:r>
              <w:rPr>
                <w:rFonts w:ascii="Palatino Linotype" w:hAnsi="Palatino Linotype"/>
                <w:sz w:val="24"/>
                <w:szCs w:val="24"/>
              </w:rPr>
              <w:t>Hofling’s</w:t>
            </w:r>
            <w:proofErr w:type="spellEnd"/>
            <w:r>
              <w:rPr>
                <w:rFonts w:ascii="Palatino Linotype" w:hAnsi="Palatino Linotype"/>
                <w:sz w:val="24"/>
                <w:szCs w:val="24"/>
              </w:rPr>
              <w:t xml:space="preserve"> study were able to regain their sense of autonomy and freewill. Agency theory fails to explain this. </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Pr="00D352BE" w:rsidRDefault="002F4DBE" w:rsidP="001F02CE">
            <w:pPr>
              <w:pStyle w:val="BodyText"/>
              <w:rPr>
                <w:rFonts w:ascii="Palatino Linotype" w:hAnsi="Palatino Linotype"/>
                <w:sz w:val="24"/>
                <w:szCs w:val="24"/>
              </w:rPr>
            </w:pPr>
            <w:r>
              <w:rPr>
                <w:rFonts w:ascii="Palatino Linotype" w:hAnsi="Palatino Linotype"/>
                <w:sz w:val="24"/>
                <w:szCs w:val="24"/>
              </w:rPr>
              <w:t xml:space="preserve">Furthermore, real life presents further cases of individuals who have been defiant whilst risking their own lives for others, e.g. Paul in the Rwandan genocide and Oscar Schindler during the Holocaust. These acts are perhaps better explained by appealing to personality factors such as desire for personal control which Burger </w:t>
            </w:r>
            <w:r>
              <w:rPr>
                <w:rFonts w:ascii="Palatino Linotype" w:hAnsi="Palatino Linotype"/>
                <w:sz w:val="24"/>
                <w:szCs w:val="24"/>
              </w:rPr>
              <w:lastRenderedPageBreak/>
              <w:t>(2009) showed was important in predicting defiance.</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2F4DBE" w:rsidTr="001F02CE">
        <w:tc>
          <w:tcPr>
            <w:tcW w:w="11874" w:type="dxa"/>
          </w:tcPr>
          <w:p w:rsidR="002F4DBE" w:rsidRDefault="002F4DBE" w:rsidP="001F02CE">
            <w:pPr>
              <w:pStyle w:val="BodyText"/>
              <w:rPr>
                <w:rFonts w:ascii="Palatino Linotype" w:hAnsi="Palatino Linotype"/>
                <w:sz w:val="24"/>
                <w:szCs w:val="24"/>
              </w:rPr>
            </w:pPr>
            <w:r>
              <w:rPr>
                <w:rFonts w:ascii="Palatino Linotype" w:hAnsi="Palatino Linotype"/>
                <w:sz w:val="24"/>
                <w:szCs w:val="24"/>
              </w:rPr>
              <w:lastRenderedPageBreak/>
              <w:t xml:space="preserve">It would appear then that agency theory alone cannot explain some cases particularly of disobedience, and work by </w:t>
            </w:r>
            <w:r w:rsidR="001F02CE">
              <w:rPr>
                <w:rFonts w:ascii="Palatino Linotype" w:hAnsi="Palatino Linotype"/>
                <w:sz w:val="24"/>
                <w:szCs w:val="24"/>
              </w:rPr>
              <w:t>psychologists</w:t>
            </w:r>
            <w:r>
              <w:rPr>
                <w:rFonts w:ascii="Palatino Linotype" w:hAnsi="Palatino Linotype"/>
                <w:sz w:val="24"/>
                <w:szCs w:val="24"/>
              </w:rPr>
              <w:t xml:space="preserve"> such as </w:t>
            </w:r>
            <w:r w:rsidRPr="002F4DBE">
              <w:rPr>
                <w:rFonts w:ascii="Palatino Linotype" w:hAnsi="Palatino Linotype"/>
                <w:sz w:val="24"/>
                <w:szCs w:val="24"/>
              </w:rPr>
              <w:t>Adorno</w:t>
            </w:r>
            <w:r>
              <w:rPr>
                <w:rFonts w:ascii="Palatino Linotype" w:hAnsi="Palatino Linotype"/>
                <w:sz w:val="24"/>
                <w:szCs w:val="24"/>
              </w:rPr>
              <w:t xml:space="preserve"> suggest that individual differences could be explained by looking at relationships in childhood.  Life experiences clearly do have a role to play in mediating the biological urge to obey as </w:t>
            </w:r>
            <w:r w:rsidRPr="002F4DBE">
              <w:rPr>
                <w:rFonts w:ascii="Palatino Linotype" w:hAnsi="Palatino Linotype"/>
                <w:sz w:val="24"/>
                <w:szCs w:val="24"/>
              </w:rPr>
              <w:t>Gretchen Brandt</w:t>
            </w:r>
            <w:r>
              <w:rPr>
                <w:rFonts w:ascii="Palatino Linotype" w:hAnsi="Palatino Linotype"/>
                <w:sz w:val="24"/>
                <w:szCs w:val="24"/>
              </w:rPr>
              <w:t xml:space="preserve">, one </w:t>
            </w:r>
            <w:r w:rsidRPr="002F4DBE">
              <w:rPr>
                <w:rFonts w:ascii="Palatino Linotype" w:hAnsi="Palatino Linotype"/>
                <w:sz w:val="24"/>
                <w:szCs w:val="24"/>
              </w:rPr>
              <w:t xml:space="preserve">of Milgram </w:t>
            </w:r>
            <w:proofErr w:type="spellStart"/>
            <w:r w:rsidRPr="002F4DBE">
              <w:rPr>
                <w:rFonts w:ascii="Palatino Linotype" w:hAnsi="Palatino Linotype"/>
                <w:sz w:val="24"/>
                <w:szCs w:val="24"/>
              </w:rPr>
              <w:t>Pps</w:t>
            </w:r>
            <w:proofErr w:type="spellEnd"/>
            <w:r w:rsidRPr="002F4DBE">
              <w:rPr>
                <w:rFonts w:ascii="Palatino Linotype" w:hAnsi="Palatino Linotype"/>
                <w:sz w:val="24"/>
                <w:szCs w:val="24"/>
              </w:rPr>
              <w:t>, said “some of us have seen too much pain” in her post study interview</w:t>
            </w:r>
            <w:proofErr w:type="gramStart"/>
            <w:r>
              <w:rPr>
                <w:rFonts w:ascii="Palatino Linotype" w:hAnsi="Palatino Linotype"/>
                <w:sz w:val="24"/>
                <w:szCs w:val="24"/>
              </w:rPr>
              <w:t xml:space="preserve">, </w:t>
            </w:r>
            <w:r w:rsidRPr="002F4DBE">
              <w:rPr>
                <w:rFonts w:ascii="Palatino Linotype" w:hAnsi="Palatino Linotype"/>
                <w:sz w:val="24"/>
                <w:szCs w:val="24"/>
              </w:rPr>
              <w:t xml:space="preserve"> </w:t>
            </w:r>
            <w:r>
              <w:rPr>
                <w:rFonts w:ascii="Palatino Linotype" w:hAnsi="Palatino Linotype"/>
                <w:sz w:val="24"/>
                <w:szCs w:val="24"/>
              </w:rPr>
              <w:t>when</w:t>
            </w:r>
            <w:proofErr w:type="gramEnd"/>
            <w:r>
              <w:rPr>
                <w:rFonts w:ascii="Palatino Linotype" w:hAnsi="Palatino Linotype"/>
                <w:sz w:val="24"/>
                <w:szCs w:val="24"/>
              </w:rPr>
              <w:t xml:space="preserve"> </w:t>
            </w:r>
            <w:r w:rsidRPr="002F4DBE">
              <w:rPr>
                <w:rFonts w:ascii="Palatino Linotype" w:hAnsi="Palatino Linotype"/>
                <w:sz w:val="24"/>
                <w:szCs w:val="24"/>
              </w:rPr>
              <w:t>explain</w:t>
            </w:r>
            <w:r>
              <w:rPr>
                <w:rFonts w:ascii="Palatino Linotype" w:hAnsi="Palatino Linotype"/>
                <w:sz w:val="24"/>
                <w:szCs w:val="24"/>
              </w:rPr>
              <w:t xml:space="preserve">ing why </w:t>
            </w:r>
            <w:r w:rsidRPr="002F4DBE">
              <w:rPr>
                <w:rFonts w:ascii="Palatino Linotype" w:hAnsi="Palatino Linotype"/>
                <w:sz w:val="24"/>
                <w:szCs w:val="24"/>
              </w:rPr>
              <w:t>she dropped out. She had grown up in Nazi Germany</w:t>
            </w:r>
            <w:r>
              <w:rPr>
                <w:rFonts w:ascii="Palatino Linotype" w:hAnsi="Palatino Linotype"/>
                <w:sz w:val="24"/>
                <w:szCs w:val="24"/>
              </w:rPr>
              <w:t>.</w:t>
            </w:r>
          </w:p>
        </w:tc>
        <w:tc>
          <w:tcPr>
            <w:tcW w:w="2835" w:type="dxa"/>
          </w:tcPr>
          <w:p w:rsidR="002F4DBE" w:rsidRDefault="002F4DBE" w:rsidP="001F02CE">
            <w:pPr>
              <w:autoSpaceDE w:val="0"/>
              <w:autoSpaceDN w:val="0"/>
              <w:adjustRightInd w:val="0"/>
              <w:rPr>
                <w:rFonts w:ascii="Palatino Linotype" w:hAnsi="Palatino Linotype" w:cs="Verdana"/>
                <w:b/>
                <w:sz w:val="20"/>
                <w:szCs w:val="20"/>
              </w:rPr>
            </w:pPr>
          </w:p>
        </w:tc>
      </w:tr>
      <w:tr w:rsidR="001F02CE" w:rsidTr="001F02CE">
        <w:tc>
          <w:tcPr>
            <w:tcW w:w="11874" w:type="dxa"/>
          </w:tcPr>
          <w:p w:rsidR="001F02CE" w:rsidRDefault="001F02CE" w:rsidP="001F02CE">
            <w:pPr>
              <w:pStyle w:val="BodyText"/>
              <w:rPr>
                <w:rFonts w:ascii="Palatino Linotype" w:hAnsi="Palatino Linotype"/>
                <w:sz w:val="24"/>
                <w:szCs w:val="24"/>
              </w:rPr>
            </w:pPr>
            <w:r>
              <w:rPr>
                <w:rFonts w:ascii="Palatino Linotype" w:hAnsi="Palatino Linotype"/>
                <w:sz w:val="24"/>
                <w:szCs w:val="24"/>
              </w:rPr>
              <w:t>Therefore it is apparent that individual differences in the people who are given orders may be important after all and similarly we should consider the individual differences in the authority figures themselves. Milgram argued that a person should have legitimate authority in order to elicit obedience from others. However, in real life some figures seem to be extremely commanding yet have no legitimate author, e.g. 900 people followed orders from Jim Jones, the 70s cult leader to commit suicide, by drinking poison. This man had no real authority yet arguably had secured his power over them due to his charismatic personality. This shows that others theory of obedience such as social power theory and charismatic leadership theory are also important in predicting outcomes in real world situations.</w:t>
            </w:r>
          </w:p>
        </w:tc>
        <w:tc>
          <w:tcPr>
            <w:tcW w:w="2835" w:type="dxa"/>
          </w:tcPr>
          <w:p w:rsidR="001F02CE" w:rsidRDefault="001F02CE" w:rsidP="001F02CE">
            <w:pPr>
              <w:autoSpaceDE w:val="0"/>
              <w:autoSpaceDN w:val="0"/>
              <w:adjustRightInd w:val="0"/>
              <w:rPr>
                <w:rFonts w:ascii="Palatino Linotype" w:hAnsi="Palatino Linotype" w:cs="Verdana"/>
                <w:b/>
                <w:sz w:val="20"/>
                <w:szCs w:val="20"/>
              </w:rPr>
            </w:pPr>
          </w:p>
        </w:tc>
      </w:tr>
      <w:tr w:rsidR="001F02CE" w:rsidTr="001F02CE">
        <w:tc>
          <w:tcPr>
            <w:tcW w:w="11874" w:type="dxa"/>
          </w:tcPr>
          <w:p w:rsidR="001F02CE" w:rsidRDefault="001F02CE" w:rsidP="001F02CE">
            <w:pPr>
              <w:pStyle w:val="BodyText"/>
              <w:rPr>
                <w:rFonts w:ascii="Palatino Linotype" w:hAnsi="Palatino Linotype"/>
                <w:sz w:val="24"/>
                <w:szCs w:val="24"/>
              </w:rPr>
            </w:pPr>
            <w:r w:rsidRPr="002F4DBE">
              <w:rPr>
                <w:rFonts w:ascii="Palatino Linotype" w:hAnsi="Palatino Linotype"/>
                <w:sz w:val="24"/>
                <w:szCs w:val="24"/>
              </w:rPr>
              <w:t xml:space="preserve">In conclusion, whilst agency theory accounts well for the very high levels of obedience seen in many studies and real world events, the theory is not scientific </w:t>
            </w:r>
            <w:proofErr w:type="gramStart"/>
            <w:r w:rsidRPr="002F4DBE">
              <w:rPr>
                <w:rFonts w:ascii="Palatino Linotype" w:hAnsi="Palatino Linotype"/>
                <w:sz w:val="24"/>
                <w:szCs w:val="24"/>
              </w:rPr>
              <w:t>as its more</w:t>
            </w:r>
            <w:r w:rsidRPr="002F4DBE">
              <w:rPr>
                <w:rFonts w:ascii="Palatino Linotype" w:hAnsi="Palatino Linotype"/>
                <w:sz w:val="24"/>
                <w:szCs w:val="24"/>
              </w:rPr>
              <w:t xml:space="preserve"> </w:t>
            </w:r>
            <w:r w:rsidRPr="002F4DBE">
              <w:rPr>
                <w:rFonts w:ascii="Palatino Linotype" w:hAnsi="Palatino Linotype"/>
                <w:sz w:val="24"/>
                <w:szCs w:val="24"/>
              </w:rPr>
              <w:t>descriptive than</w:t>
            </w:r>
            <w:proofErr w:type="gramEnd"/>
            <w:r w:rsidRPr="002F4DBE">
              <w:rPr>
                <w:rFonts w:ascii="Palatino Linotype" w:hAnsi="Palatino Linotype"/>
                <w:sz w:val="24"/>
                <w:szCs w:val="24"/>
              </w:rPr>
              <w:t xml:space="preserve"> explanatory. For example saying it says we are obedient when we are in the agentic state and</w:t>
            </w:r>
            <w:r w:rsidRPr="002F4DBE">
              <w:rPr>
                <w:rFonts w:ascii="Palatino Linotype" w:hAnsi="Palatino Linotype"/>
                <w:sz w:val="24"/>
                <w:szCs w:val="24"/>
              </w:rPr>
              <w:t xml:space="preserve"> </w:t>
            </w:r>
            <w:r w:rsidRPr="002F4DBE">
              <w:rPr>
                <w:rFonts w:ascii="Palatino Linotype" w:hAnsi="Palatino Linotype"/>
                <w:sz w:val="24"/>
                <w:szCs w:val="24"/>
              </w:rPr>
              <w:t>basically defines agentic state as the state of obeying order;</w:t>
            </w:r>
            <w:r w:rsidRPr="002F4DBE">
              <w:rPr>
                <w:rFonts w:ascii="Palatino Linotype" w:hAnsi="Palatino Linotype"/>
                <w:sz w:val="24"/>
                <w:szCs w:val="24"/>
              </w:rPr>
              <w:t xml:space="preserve"> </w:t>
            </w:r>
            <w:r w:rsidRPr="002F4DBE">
              <w:rPr>
                <w:rFonts w:ascii="Palatino Linotype" w:hAnsi="Palatino Linotype"/>
                <w:sz w:val="24"/>
                <w:szCs w:val="24"/>
              </w:rPr>
              <w:t xml:space="preserve">this is known as a circular argument. Also, agency theory does not </w:t>
            </w:r>
            <w:proofErr w:type="gramStart"/>
            <w:r w:rsidRPr="002F4DBE">
              <w:rPr>
                <w:rFonts w:ascii="Palatino Linotype" w:hAnsi="Palatino Linotype"/>
                <w:sz w:val="24"/>
                <w:szCs w:val="24"/>
              </w:rPr>
              <w:t>explain  why</w:t>
            </w:r>
            <w:proofErr w:type="gramEnd"/>
            <w:r w:rsidRPr="002F4DBE">
              <w:rPr>
                <w:rFonts w:ascii="Palatino Linotype" w:hAnsi="Palatino Linotype"/>
                <w:sz w:val="24"/>
                <w:szCs w:val="24"/>
              </w:rPr>
              <w:t xml:space="preserve"> some people can switch back from agency to autonomy with greater ease than others and this is a major problem with the theory as fostering this could stop acts of destructive</w:t>
            </w:r>
            <w:r w:rsidRPr="002F4DBE">
              <w:rPr>
                <w:rFonts w:ascii="Palatino Linotype" w:hAnsi="Palatino Linotype"/>
                <w:sz w:val="24"/>
                <w:szCs w:val="24"/>
              </w:rPr>
              <w:t xml:space="preserve"> </w:t>
            </w:r>
            <w:r w:rsidRPr="002F4DBE">
              <w:rPr>
                <w:rFonts w:ascii="Palatino Linotype" w:hAnsi="Palatino Linotype"/>
                <w:sz w:val="24"/>
                <w:szCs w:val="24"/>
              </w:rPr>
              <w:t>obedience.</w:t>
            </w:r>
          </w:p>
        </w:tc>
        <w:tc>
          <w:tcPr>
            <w:tcW w:w="2835" w:type="dxa"/>
          </w:tcPr>
          <w:p w:rsidR="001F02CE" w:rsidRDefault="001F02CE" w:rsidP="001F02CE">
            <w:pPr>
              <w:autoSpaceDE w:val="0"/>
              <w:autoSpaceDN w:val="0"/>
              <w:adjustRightInd w:val="0"/>
              <w:rPr>
                <w:rFonts w:ascii="Palatino Linotype" w:hAnsi="Palatino Linotype" w:cs="Verdana"/>
                <w:b/>
                <w:sz w:val="20"/>
                <w:szCs w:val="20"/>
              </w:rPr>
            </w:pPr>
          </w:p>
        </w:tc>
      </w:tr>
    </w:tbl>
    <w:p w:rsidR="00166F85" w:rsidRPr="00166F85" w:rsidRDefault="00166F85" w:rsidP="00166F85"/>
    <w:p w:rsidR="002F4DBE" w:rsidRDefault="002F4DBE">
      <w:r>
        <w:t xml:space="preserve"> </w:t>
      </w:r>
    </w:p>
    <w:p w:rsidR="00F85D61" w:rsidRDefault="00F85D61" w:rsidP="00F85D61">
      <w:pPr>
        <w:autoSpaceDE w:val="0"/>
        <w:autoSpaceDN w:val="0"/>
        <w:adjustRightInd w:val="0"/>
        <w:spacing w:after="0" w:line="240" w:lineRule="auto"/>
        <w:rPr>
          <w:rFonts w:ascii="Palatino Linotype" w:hAnsi="Palatino Linotype" w:cs="Verdana"/>
          <w:b/>
          <w:sz w:val="36"/>
          <w:szCs w:val="36"/>
        </w:rPr>
      </w:pPr>
    </w:p>
    <w:p w:rsidR="00CB65B2" w:rsidRDefault="001F02CE"/>
    <w:sectPr w:rsidR="00CB65B2" w:rsidSect="001F02CE">
      <w:pgSz w:w="16838" w:h="11906" w:orient="landscape"/>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Lucida Handwriting">
    <w:panose1 w:val="03010101010101010101"/>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D61"/>
    <w:rsid w:val="00004370"/>
    <w:rsid w:val="000F78FF"/>
    <w:rsid w:val="00166F85"/>
    <w:rsid w:val="001F02CE"/>
    <w:rsid w:val="002F4DBE"/>
    <w:rsid w:val="008D557C"/>
    <w:rsid w:val="009E33AF"/>
    <w:rsid w:val="00A922D7"/>
    <w:rsid w:val="00C7416F"/>
    <w:rsid w:val="00D352BE"/>
    <w:rsid w:val="00E64F3C"/>
    <w:rsid w:val="00F85D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D61"/>
  </w:style>
  <w:style w:type="paragraph" w:styleId="Heading1">
    <w:name w:val="heading 1"/>
    <w:basedOn w:val="Normal"/>
    <w:next w:val="Normal"/>
    <w:link w:val="Heading1Char"/>
    <w:uiPriority w:val="9"/>
    <w:qFormat/>
    <w:rsid w:val="009E33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85D61"/>
    <w:rPr>
      <w:sz w:val="16"/>
      <w:szCs w:val="16"/>
    </w:rPr>
  </w:style>
  <w:style w:type="paragraph" w:styleId="CommentText">
    <w:name w:val="annotation text"/>
    <w:basedOn w:val="Normal"/>
    <w:link w:val="CommentTextChar"/>
    <w:uiPriority w:val="99"/>
    <w:semiHidden/>
    <w:unhideWhenUsed/>
    <w:rsid w:val="00F85D61"/>
    <w:pPr>
      <w:spacing w:line="240" w:lineRule="auto"/>
    </w:pPr>
    <w:rPr>
      <w:sz w:val="20"/>
      <w:szCs w:val="20"/>
    </w:rPr>
  </w:style>
  <w:style w:type="character" w:customStyle="1" w:styleId="CommentTextChar">
    <w:name w:val="Comment Text Char"/>
    <w:basedOn w:val="DefaultParagraphFont"/>
    <w:link w:val="CommentText"/>
    <w:uiPriority w:val="99"/>
    <w:semiHidden/>
    <w:rsid w:val="00F85D61"/>
    <w:rPr>
      <w:sz w:val="20"/>
      <w:szCs w:val="20"/>
    </w:rPr>
  </w:style>
  <w:style w:type="paragraph" w:styleId="BalloonText">
    <w:name w:val="Balloon Text"/>
    <w:basedOn w:val="Normal"/>
    <w:link w:val="BalloonTextChar"/>
    <w:uiPriority w:val="99"/>
    <w:semiHidden/>
    <w:unhideWhenUsed/>
    <w:rsid w:val="00F85D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5D61"/>
    <w:rPr>
      <w:rFonts w:ascii="Tahoma" w:hAnsi="Tahoma" w:cs="Tahoma"/>
      <w:sz w:val="16"/>
      <w:szCs w:val="16"/>
    </w:rPr>
  </w:style>
  <w:style w:type="table" w:styleId="TableGrid">
    <w:name w:val="Table Grid"/>
    <w:basedOn w:val="TableNormal"/>
    <w:uiPriority w:val="59"/>
    <w:rsid w:val="00A922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E33AF"/>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9E33AF"/>
    <w:pPr>
      <w:spacing w:after="120"/>
    </w:pPr>
  </w:style>
  <w:style w:type="character" w:customStyle="1" w:styleId="BodyTextChar">
    <w:name w:val="Body Text Char"/>
    <w:basedOn w:val="DefaultParagraphFont"/>
    <w:link w:val="BodyText"/>
    <w:uiPriority w:val="99"/>
    <w:rsid w:val="009E33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D61"/>
  </w:style>
  <w:style w:type="paragraph" w:styleId="Heading1">
    <w:name w:val="heading 1"/>
    <w:basedOn w:val="Normal"/>
    <w:next w:val="Normal"/>
    <w:link w:val="Heading1Char"/>
    <w:uiPriority w:val="9"/>
    <w:qFormat/>
    <w:rsid w:val="009E33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85D61"/>
    <w:rPr>
      <w:sz w:val="16"/>
      <w:szCs w:val="16"/>
    </w:rPr>
  </w:style>
  <w:style w:type="paragraph" w:styleId="CommentText">
    <w:name w:val="annotation text"/>
    <w:basedOn w:val="Normal"/>
    <w:link w:val="CommentTextChar"/>
    <w:uiPriority w:val="99"/>
    <w:semiHidden/>
    <w:unhideWhenUsed/>
    <w:rsid w:val="00F85D61"/>
    <w:pPr>
      <w:spacing w:line="240" w:lineRule="auto"/>
    </w:pPr>
    <w:rPr>
      <w:sz w:val="20"/>
      <w:szCs w:val="20"/>
    </w:rPr>
  </w:style>
  <w:style w:type="character" w:customStyle="1" w:styleId="CommentTextChar">
    <w:name w:val="Comment Text Char"/>
    <w:basedOn w:val="DefaultParagraphFont"/>
    <w:link w:val="CommentText"/>
    <w:uiPriority w:val="99"/>
    <w:semiHidden/>
    <w:rsid w:val="00F85D61"/>
    <w:rPr>
      <w:sz w:val="20"/>
      <w:szCs w:val="20"/>
    </w:rPr>
  </w:style>
  <w:style w:type="paragraph" w:styleId="BalloonText">
    <w:name w:val="Balloon Text"/>
    <w:basedOn w:val="Normal"/>
    <w:link w:val="BalloonTextChar"/>
    <w:uiPriority w:val="99"/>
    <w:semiHidden/>
    <w:unhideWhenUsed/>
    <w:rsid w:val="00F85D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5D61"/>
    <w:rPr>
      <w:rFonts w:ascii="Tahoma" w:hAnsi="Tahoma" w:cs="Tahoma"/>
      <w:sz w:val="16"/>
      <w:szCs w:val="16"/>
    </w:rPr>
  </w:style>
  <w:style w:type="table" w:styleId="TableGrid">
    <w:name w:val="Table Grid"/>
    <w:basedOn w:val="TableNormal"/>
    <w:uiPriority w:val="59"/>
    <w:rsid w:val="00A922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E33AF"/>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9E33AF"/>
    <w:pPr>
      <w:spacing w:after="120"/>
    </w:pPr>
  </w:style>
  <w:style w:type="character" w:customStyle="1" w:styleId="BodyTextChar">
    <w:name w:val="Body Text Char"/>
    <w:basedOn w:val="DefaultParagraphFont"/>
    <w:link w:val="BodyText"/>
    <w:uiPriority w:val="99"/>
    <w:rsid w:val="009E33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4</Pages>
  <Words>1202</Words>
  <Characters>6856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8042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1</cp:revision>
  <dcterms:created xsi:type="dcterms:W3CDTF">2016-12-12T20:36:00Z</dcterms:created>
  <dcterms:modified xsi:type="dcterms:W3CDTF">2016-12-12T23:55:00Z</dcterms:modified>
</cp:coreProperties>
</file>