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CA3" w:rsidRPr="00550295" w:rsidRDefault="00550295">
      <w:pPr>
        <w:rPr>
          <w:rFonts w:ascii="Palatino Linotype" w:hAnsi="Palatino Linotype"/>
          <w:sz w:val="24"/>
          <w:szCs w:val="24"/>
        </w:rPr>
      </w:pPr>
      <w:r w:rsidRPr="00550295">
        <w:rPr>
          <w:rFonts w:ascii="Palatino Linotype" w:hAnsi="Palatino Linotype"/>
          <w:sz w:val="24"/>
          <w:szCs w:val="24"/>
        </w:rPr>
        <w:t>Name:</w:t>
      </w:r>
      <w:r>
        <w:rPr>
          <w:rFonts w:ascii="Palatino Linotype" w:hAnsi="Palatino Linotype"/>
          <w:sz w:val="24"/>
          <w:szCs w:val="24"/>
        </w:rPr>
        <w:t xml:space="preserve"> …………………………………………………………………………………………</w:t>
      </w:r>
    </w:p>
    <w:p w:rsidR="00550295" w:rsidRPr="00550295" w:rsidRDefault="00550295">
      <w:pPr>
        <w:rPr>
          <w:rFonts w:ascii="Palatino Linotype" w:hAnsi="Palatino Linotype"/>
          <w:sz w:val="24"/>
          <w:szCs w:val="24"/>
        </w:rPr>
      </w:pPr>
      <w:r w:rsidRPr="00550295">
        <w:rPr>
          <w:rFonts w:ascii="Palatino Linotype" w:hAnsi="Palatino Linotype"/>
          <w:sz w:val="24"/>
          <w:szCs w:val="24"/>
        </w:rPr>
        <w:t>Marker:</w:t>
      </w:r>
      <w:r>
        <w:rPr>
          <w:rFonts w:ascii="Palatino Linotype" w:hAnsi="Palatino Linotype"/>
          <w:sz w:val="24"/>
          <w:szCs w:val="24"/>
        </w:rPr>
        <w:t xml:space="preserve"> ………………………………………………………………………………………</w:t>
      </w:r>
    </w:p>
    <w:p w:rsidR="00550295" w:rsidRPr="00550295" w:rsidRDefault="00550295">
      <w:pPr>
        <w:rPr>
          <w:rFonts w:ascii="Palatino Linotype" w:hAnsi="Palatino Linotype"/>
          <w:sz w:val="24"/>
          <w:szCs w:val="24"/>
        </w:rPr>
      </w:pPr>
      <w:r w:rsidRPr="00550295">
        <w:rPr>
          <w:rFonts w:ascii="Palatino Linotype" w:hAnsi="Palatino Linotype"/>
          <w:sz w:val="24"/>
          <w:szCs w:val="24"/>
        </w:rPr>
        <w:t>Date:</w:t>
      </w:r>
      <w:r>
        <w:rPr>
          <w:rFonts w:ascii="Palatino Linotype" w:hAnsi="Palatino Linotype"/>
          <w:sz w:val="24"/>
          <w:szCs w:val="24"/>
        </w:rPr>
        <w:t xml:space="preserve"> ………………………………</w:t>
      </w:r>
    </w:p>
    <w:p w:rsidR="00550295" w:rsidRDefault="00550295" w:rsidP="00321EDE">
      <w:pPr>
        <w:rPr>
          <w:rFonts w:ascii="Palatino Linotype" w:hAnsi="Palatino Linotype"/>
          <w:sz w:val="24"/>
          <w:szCs w:val="24"/>
        </w:rPr>
      </w:pPr>
      <w:r w:rsidRPr="00550295">
        <w:rPr>
          <w:rFonts w:ascii="Palatino Linotype" w:hAnsi="Palatino Linotype"/>
          <w:sz w:val="24"/>
          <w:szCs w:val="24"/>
        </w:rPr>
        <w:t>Question: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321EDE" w:rsidRDefault="00321EDE" w:rsidP="00321EDE">
      <w:pPr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2835"/>
        <w:gridCol w:w="2712"/>
        <w:gridCol w:w="2311"/>
      </w:tblGrid>
      <w:tr w:rsidR="00550295" w:rsidTr="00840998">
        <w:tc>
          <w:tcPr>
            <w:tcW w:w="1384" w:type="dxa"/>
            <w:vMerge w:val="restart"/>
          </w:tcPr>
          <w:p w:rsidR="00550295" w:rsidRPr="00321EDE" w:rsidRDefault="00550295" w:rsidP="00DA70C2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proofErr w:type="spellStart"/>
            <w:r w:rsidRPr="00321EDE">
              <w:rPr>
                <w:rFonts w:ascii="Palatino Linotype" w:hAnsi="Palatino Linotype"/>
                <w:b/>
                <w:sz w:val="16"/>
                <w:szCs w:val="16"/>
              </w:rPr>
              <w:t>Markband</w:t>
            </w:r>
            <w:proofErr w:type="spellEnd"/>
          </w:p>
        </w:tc>
        <w:tc>
          <w:tcPr>
            <w:tcW w:w="7858" w:type="dxa"/>
            <w:gridSpan w:val="3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b/>
                <w:sz w:val="16"/>
                <w:szCs w:val="16"/>
              </w:rPr>
              <w:t>Level descriptors</w:t>
            </w:r>
          </w:p>
        </w:tc>
      </w:tr>
      <w:tr w:rsidR="00550295" w:rsidTr="00550295">
        <w:tc>
          <w:tcPr>
            <w:tcW w:w="1384" w:type="dxa"/>
            <w:vMerge/>
          </w:tcPr>
          <w:p w:rsidR="00550295" w:rsidRPr="00321EDE" w:rsidRDefault="00550295">
            <w:pPr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  <w:tc>
          <w:tcPr>
            <w:tcW w:w="2835" w:type="dxa"/>
          </w:tcPr>
          <w:p w:rsidR="00550295" w:rsidRPr="00321EDE" w:rsidRDefault="00550295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b/>
                <w:sz w:val="16"/>
                <w:szCs w:val="16"/>
              </w:rPr>
              <w:t xml:space="preserve">Focus and relevance </w:t>
            </w:r>
          </w:p>
        </w:tc>
        <w:tc>
          <w:tcPr>
            <w:tcW w:w="2712" w:type="dxa"/>
          </w:tcPr>
          <w:p w:rsidR="00550295" w:rsidRPr="00321EDE" w:rsidRDefault="00550295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b/>
                <w:sz w:val="16"/>
                <w:szCs w:val="16"/>
              </w:rPr>
              <w:t>Accuracy and depth of knowledge and understanding</w:t>
            </w:r>
          </w:p>
        </w:tc>
        <w:tc>
          <w:tcPr>
            <w:tcW w:w="2311" w:type="dxa"/>
          </w:tcPr>
          <w:p w:rsidR="00550295" w:rsidRPr="00321EDE" w:rsidRDefault="00550295" w:rsidP="00550295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b/>
                <w:sz w:val="16"/>
                <w:szCs w:val="16"/>
              </w:rPr>
              <w:t xml:space="preserve">Effective use of appropriate research evidence </w:t>
            </w:r>
          </w:p>
        </w:tc>
      </w:tr>
      <w:tr w:rsidR="00550295" w:rsidTr="00550295">
        <w:tc>
          <w:tcPr>
            <w:tcW w:w="1384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0</w:t>
            </w:r>
          </w:p>
        </w:tc>
        <w:tc>
          <w:tcPr>
            <w:tcW w:w="2835" w:type="dxa"/>
          </w:tcPr>
          <w:p w:rsidR="00550295" w:rsidRPr="00321EDE" w:rsidRDefault="00550295" w:rsidP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 xml:space="preserve">The answer does not reach a standard described by the descriptors below. </w:t>
            </w:r>
          </w:p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2712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2311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</w:tr>
      <w:tr w:rsidR="00550295" w:rsidTr="00550295">
        <w:tc>
          <w:tcPr>
            <w:tcW w:w="1384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1–3</w:t>
            </w:r>
          </w:p>
        </w:tc>
        <w:tc>
          <w:tcPr>
            <w:tcW w:w="2835" w:type="dxa"/>
          </w:tcPr>
          <w:p w:rsidR="00550295" w:rsidRPr="00321EDE" w:rsidRDefault="00550295" w:rsidP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 xml:space="preserve">The response is of limited relevance to or only rephrases the question. </w:t>
            </w:r>
          </w:p>
        </w:tc>
        <w:tc>
          <w:tcPr>
            <w:tcW w:w="2712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Knowledge and understanding is mostly inaccurate or not relevant to the question.</w:t>
            </w:r>
          </w:p>
        </w:tc>
        <w:tc>
          <w:tcPr>
            <w:tcW w:w="2311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The research supporting the response is mostly not relevant to the question and if relevant only listed.</w:t>
            </w:r>
          </w:p>
        </w:tc>
      </w:tr>
      <w:tr w:rsidR="00550295" w:rsidTr="00550295">
        <w:tc>
          <w:tcPr>
            <w:tcW w:w="1384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4–6</w:t>
            </w:r>
          </w:p>
        </w:tc>
        <w:tc>
          <w:tcPr>
            <w:tcW w:w="2835" w:type="dxa"/>
          </w:tcPr>
          <w:p w:rsidR="00550295" w:rsidRPr="00321EDE" w:rsidRDefault="00550295" w:rsidP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 xml:space="preserve">The response is relevant to the question, but does not meet the command term requirements. </w:t>
            </w:r>
          </w:p>
        </w:tc>
        <w:tc>
          <w:tcPr>
            <w:tcW w:w="2712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Knowledge and understanding is accurate but limited.</w:t>
            </w:r>
          </w:p>
        </w:tc>
        <w:tc>
          <w:tcPr>
            <w:tcW w:w="2311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The response is supported by appropriate research which is described.</w:t>
            </w:r>
          </w:p>
        </w:tc>
      </w:tr>
      <w:tr w:rsidR="00550295" w:rsidTr="00550295">
        <w:tc>
          <w:tcPr>
            <w:tcW w:w="1384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7–9</w:t>
            </w:r>
          </w:p>
        </w:tc>
        <w:tc>
          <w:tcPr>
            <w:tcW w:w="2835" w:type="dxa"/>
          </w:tcPr>
          <w:p w:rsidR="00550295" w:rsidRPr="00321EDE" w:rsidRDefault="00550295" w:rsidP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 xml:space="preserve">The response is fully focused on the question and meets the command term requirements. </w:t>
            </w:r>
          </w:p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2712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Knowledge and understanding is accurate and addresses the main topics/ problems identified in the question.</w:t>
            </w:r>
          </w:p>
        </w:tc>
        <w:tc>
          <w:tcPr>
            <w:tcW w:w="2311" w:type="dxa"/>
          </w:tcPr>
          <w:p w:rsidR="00550295" w:rsidRPr="00321EDE" w:rsidRDefault="00550295">
            <w:pPr>
              <w:rPr>
                <w:rFonts w:ascii="Palatino Linotype" w:hAnsi="Palatino Linotype"/>
                <w:sz w:val="16"/>
                <w:szCs w:val="16"/>
              </w:rPr>
            </w:pPr>
            <w:r w:rsidRPr="00321EDE">
              <w:rPr>
                <w:rFonts w:ascii="Palatino Linotype" w:hAnsi="Palatino Linotype"/>
                <w:sz w:val="16"/>
                <w:szCs w:val="16"/>
              </w:rPr>
              <w:t>The response is supported by appropriate research which is described and explicitly linked to the question.</w:t>
            </w:r>
          </w:p>
        </w:tc>
      </w:tr>
    </w:tbl>
    <w:p w:rsidR="00550295" w:rsidRDefault="00550295">
      <w:r>
        <w:t xml:space="preserve"> </w:t>
      </w:r>
    </w:p>
    <w:p w:rsidR="00F736F0" w:rsidRDefault="00F736F0" w:rsidP="00F736F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color w:val="000000"/>
          <w:sz w:val="24"/>
          <w:szCs w:val="24"/>
        </w:rPr>
      </w:pPr>
      <w:r>
        <w:rPr>
          <w:rFonts w:ascii="Palatino Linotype" w:hAnsi="Palatino Linotype" w:cs="Arial"/>
          <w:b/>
          <w:color w:val="000000"/>
          <w:sz w:val="24"/>
          <w:szCs w:val="24"/>
        </w:rPr>
        <w:t xml:space="preserve">To be completed by the pupil: </w:t>
      </w:r>
    </w:p>
    <w:p w:rsidR="00F736F0" w:rsidRPr="002279D9" w:rsidRDefault="00F736F0" w:rsidP="00F736F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b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2551"/>
        <w:gridCol w:w="2228"/>
        <w:gridCol w:w="2228"/>
      </w:tblGrid>
      <w:tr w:rsidR="00F736F0" w:rsidTr="00185CE0">
        <w:tc>
          <w:tcPr>
            <w:tcW w:w="2235" w:type="dxa"/>
          </w:tcPr>
          <w:p w:rsidR="00F736F0" w:rsidRDefault="00F736F0" w:rsidP="00F736F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Total mark (</w:t>
            </w: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9</w:t>
            </w: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Grade (1-7)</w:t>
            </w:r>
          </w:p>
        </w:tc>
        <w:tc>
          <w:tcPr>
            <w:tcW w:w="2228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321EDE" w:rsidRDefault="00321EDE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321EDE" w:rsidRDefault="00321EDE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</w:tr>
      <w:tr w:rsidR="00F736F0" w:rsidTr="00185CE0">
        <w:tc>
          <w:tcPr>
            <w:tcW w:w="2235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What went well</w:t>
            </w: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07" w:type="dxa"/>
            <w:gridSpan w:val="3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</w:tr>
      <w:tr w:rsidR="00F736F0" w:rsidTr="00185CE0">
        <w:tc>
          <w:tcPr>
            <w:tcW w:w="2235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Even better if</w:t>
            </w: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07" w:type="dxa"/>
            <w:gridSpan w:val="3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</w:tr>
      <w:tr w:rsidR="00F736F0" w:rsidTr="00185CE0">
        <w:tc>
          <w:tcPr>
            <w:tcW w:w="2235" w:type="dxa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>DIRT</w:t>
            </w: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07" w:type="dxa"/>
            <w:gridSpan w:val="3"/>
          </w:tcPr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  <w:p w:rsidR="00F736F0" w:rsidRDefault="00F736F0" w:rsidP="00185CE0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</w:p>
        </w:tc>
      </w:tr>
    </w:tbl>
    <w:p w:rsidR="00550295" w:rsidRPr="00550295" w:rsidRDefault="00550295" w:rsidP="00F736F0">
      <w:pPr>
        <w:rPr>
          <w:rFonts w:ascii="Palatino Linotype" w:hAnsi="Palatino Linotype"/>
          <w:sz w:val="24"/>
          <w:szCs w:val="24"/>
        </w:rPr>
      </w:pPr>
      <w:bookmarkStart w:id="0" w:name="_GoBack"/>
      <w:bookmarkEnd w:id="0"/>
    </w:p>
    <w:sectPr w:rsidR="00550295" w:rsidRPr="00550295" w:rsidSect="00550295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295" w:rsidRDefault="00550295" w:rsidP="00550295">
      <w:pPr>
        <w:spacing w:after="0" w:line="240" w:lineRule="auto"/>
      </w:pPr>
      <w:r>
        <w:separator/>
      </w:r>
    </w:p>
  </w:endnote>
  <w:endnote w:type="continuationSeparator" w:id="0">
    <w:p w:rsidR="00550295" w:rsidRDefault="00550295" w:rsidP="00550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295" w:rsidRDefault="00550295" w:rsidP="00550295">
      <w:pPr>
        <w:spacing w:after="0" w:line="240" w:lineRule="auto"/>
      </w:pPr>
      <w:r>
        <w:separator/>
      </w:r>
    </w:p>
  </w:footnote>
  <w:footnote w:type="continuationSeparator" w:id="0">
    <w:p w:rsidR="00550295" w:rsidRDefault="00550295" w:rsidP="00550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50295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AED83CA17394721A9F2C998A4C1D33C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50295" w:rsidRDefault="00550295" w:rsidP="00550295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New IB Psychology: SAQ Feedback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EB3FC6A017DB4B1E9733D88603F8CEB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50295" w:rsidRDefault="00550295" w:rsidP="0055029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50295" w:rsidRDefault="005502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295"/>
    <w:rsid w:val="00321EDE"/>
    <w:rsid w:val="00550295"/>
    <w:rsid w:val="005A4CA3"/>
    <w:rsid w:val="00F7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02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0295"/>
  </w:style>
  <w:style w:type="paragraph" w:styleId="Footer">
    <w:name w:val="footer"/>
    <w:basedOn w:val="Normal"/>
    <w:link w:val="FooterChar"/>
    <w:uiPriority w:val="99"/>
    <w:unhideWhenUsed/>
    <w:rsid w:val="005502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0295"/>
  </w:style>
  <w:style w:type="paragraph" w:styleId="BalloonText">
    <w:name w:val="Balloon Text"/>
    <w:basedOn w:val="Normal"/>
    <w:link w:val="BalloonTextChar"/>
    <w:uiPriority w:val="99"/>
    <w:semiHidden/>
    <w:unhideWhenUsed/>
    <w:rsid w:val="00550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2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0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02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0295"/>
  </w:style>
  <w:style w:type="paragraph" w:styleId="Footer">
    <w:name w:val="footer"/>
    <w:basedOn w:val="Normal"/>
    <w:link w:val="FooterChar"/>
    <w:uiPriority w:val="99"/>
    <w:unhideWhenUsed/>
    <w:rsid w:val="005502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0295"/>
  </w:style>
  <w:style w:type="paragraph" w:styleId="BalloonText">
    <w:name w:val="Balloon Text"/>
    <w:basedOn w:val="Normal"/>
    <w:link w:val="BalloonTextChar"/>
    <w:uiPriority w:val="99"/>
    <w:semiHidden/>
    <w:unhideWhenUsed/>
    <w:rsid w:val="00550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29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02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AED83CA17394721A9F2C998A4C1D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50BCA5-7C91-42EF-9E85-CFEE5177F431}"/>
      </w:docPartPr>
      <w:docPartBody>
        <w:p w:rsidR="00BA3CD4" w:rsidRDefault="00245F23" w:rsidP="00245F23">
          <w:pPr>
            <w:pStyle w:val="4AED83CA17394721A9F2C998A4C1D33C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EB3FC6A017DB4B1E9733D88603F8CE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36566-080A-4517-9078-1C5B0E84491E}"/>
      </w:docPartPr>
      <w:docPartBody>
        <w:p w:rsidR="00BA3CD4" w:rsidRDefault="00245F23" w:rsidP="00245F23">
          <w:pPr>
            <w:pStyle w:val="EB3FC6A017DB4B1E9733D88603F8CEB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F23"/>
    <w:rsid w:val="00245F23"/>
    <w:rsid w:val="00BA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ED83CA17394721A9F2C998A4C1D33C">
    <w:name w:val="4AED83CA17394721A9F2C998A4C1D33C"/>
    <w:rsid w:val="00245F23"/>
  </w:style>
  <w:style w:type="paragraph" w:customStyle="1" w:styleId="EB3FC6A017DB4B1E9733D88603F8CEB8">
    <w:name w:val="EB3FC6A017DB4B1E9733D88603F8CEB8"/>
    <w:rsid w:val="00245F2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ED83CA17394721A9F2C998A4C1D33C">
    <w:name w:val="4AED83CA17394721A9F2C998A4C1D33C"/>
    <w:rsid w:val="00245F23"/>
  </w:style>
  <w:style w:type="paragraph" w:customStyle="1" w:styleId="EB3FC6A017DB4B1E9733D88603F8CEB8">
    <w:name w:val="EB3FC6A017DB4B1E9733D88603F8CEB8"/>
    <w:rsid w:val="00245F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IB Psychology: SAQ Feedback</vt:lpstr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IB Psychology: SAQ Feedback</dc:title>
  <dc:creator>Amanda Wood (AJW)</dc:creator>
  <cp:lastModifiedBy>Amanda Wood (AJW)</cp:lastModifiedBy>
  <cp:revision>2</cp:revision>
  <dcterms:created xsi:type="dcterms:W3CDTF">2017-11-03T10:17:00Z</dcterms:created>
  <dcterms:modified xsi:type="dcterms:W3CDTF">2017-11-03T10:17:00Z</dcterms:modified>
</cp:coreProperties>
</file>