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702" w:rsidRDefault="001A7702">
      <w:pPr>
        <w:rPr>
          <w:rFonts w:ascii="Lucida Handwriting" w:hAnsi="Lucida Handwriting"/>
          <w:sz w:val="36"/>
          <w:szCs w:val="36"/>
        </w:rPr>
      </w:pPr>
      <w:r>
        <w:rPr>
          <w:rFonts w:ascii="Arial Black" w:hAnsi="Arial Black"/>
          <w:noProof/>
          <w:sz w:val="36"/>
          <w:szCs w:val="36"/>
          <w:lang w:eastAsia="en-GB"/>
        </w:rPr>
        <w:drawing>
          <wp:anchor distT="0" distB="0" distL="114300" distR="114300" simplePos="0" relativeHeight="251658240" behindDoc="1" locked="0" layoutInCell="1" allowOverlap="1" wp14:anchorId="7E64C5E5" wp14:editId="7B08DD12">
            <wp:simplePos x="0" y="0"/>
            <wp:positionH relativeFrom="column">
              <wp:posOffset>3209925</wp:posOffset>
            </wp:positionH>
            <wp:positionV relativeFrom="paragraph">
              <wp:posOffset>-8255</wp:posOffset>
            </wp:positionV>
            <wp:extent cx="2496185" cy="1666875"/>
            <wp:effectExtent l="0" t="0" r="0" b="9525"/>
            <wp:wrapTight wrapText="bothSides">
              <wp:wrapPolygon edited="0">
                <wp:start x="0" y="0"/>
                <wp:lineTo x="0" y="21477"/>
                <wp:lineTo x="21430" y="21477"/>
                <wp:lineTo x="2143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ar of flying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96185" cy="1666875"/>
                    </a:xfrm>
                    <a:prstGeom prst="rect">
                      <a:avLst/>
                    </a:prstGeom>
                  </pic:spPr>
                </pic:pic>
              </a:graphicData>
            </a:graphic>
            <wp14:sizeRelH relativeFrom="page">
              <wp14:pctWidth>0</wp14:pctWidth>
            </wp14:sizeRelH>
            <wp14:sizeRelV relativeFrom="page">
              <wp14:pctHeight>0</wp14:pctHeight>
            </wp14:sizeRelV>
          </wp:anchor>
        </w:drawing>
      </w:r>
      <w:r w:rsidR="00D42391" w:rsidRPr="00D42391">
        <w:rPr>
          <w:rFonts w:ascii="Lucida Handwriting" w:hAnsi="Lucida Handwriting"/>
          <w:sz w:val="36"/>
          <w:szCs w:val="36"/>
        </w:rPr>
        <w:t xml:space="preserve">The Scientific Status of Psychology: </w:t>
      </w:r>
    </w:p>
    <w:p w:rsidR="001A7702" w:rsidRPr="001A7702" w:rsidRDefault="00D42391">
      <w:pPr>
        <w:rPr>
          <w:rFonts w:ascii="Arial Black" w:hAnsi="Arial Black"/>
          <w:sz w:val="36"/>
          <w:szCs w:val="36"/>
          <w:u w:val="single"/>
        </w:rPr>
      </w:pPr>
      <w:r w:rsidRPr="001A7702">
        <w:rPr>
          <w:rFonts w:ascii="Arial Black" w:hAnsi="Arial Black"/>
          <w:sz w:val="36"/>
          <w:szCs w:val="36"/>
          <w:u w:val="single"/>
        </w:rPr>
        <w:t>Evaluating Capafons</w:t>
      </w:r>
    </w:p>
    <w:tbl>
      <w:tblPr>
        <w:tblStyle w:val="TableGrid"/>
        <w:tblpPr w:leftFromText="180" w:rightFromText="180" w:vertAnchor="text" w:tblpY="1"/>
        <w:tblOverlap w:val="never"/>
        <w:tblW w:w="0" w:type="auto"/>
        <w:tblLook w:val="04A0" w:firstRow="1" w:lastRow="0" w:firstColumn="1" w:lastColumn="0" w:noHBand="0" w:noVBand="1"/>
      </w:tblPr>
      <w:tblGrid>
        <w:gridCol w:w="2490"/>
        <w:gridCol w:w="1020"/>
        <w:gridCol w:w="5732"/>
      </w:tblGrid>
      <w:tr w:rsidR="00D42391" w:rsidTr="001A7702">
        <w:tc>
          <w:tcPr>
            <w:tcW w:w="2490" w:type="dxa"/>
          </w:tcPr>
          <w:p w:rsidR="00D42391" w:rsidRDefault="00D42391" w:rsidP="001A7702">
            <w:pPr>
              <w:rPr>
                <w:rFonts w:ascii="Arial Black" w:hAnsi="Arial Black"/>
                <w:sz w:val="36"/>
                <w:szCs w:val="36"/>
              </w:rPr>
            </w:pPr>
          </w:p>
        </w:tc>
        <w:tc>
          <w:tcPr>
            <w:tcW w:w="1020" w:type="dxa"/>
          </w:tcPr>
          <w:p w:rsidR="00D42391" w:rsidRDefault="00D42391" w:rsidP="001A7702">
            <w:pPr>
              <w:rPr>
                <w:rFonts w:ascii="Arial Black" w:hAnsi="Arial Black"/>
                <w:sz w:val="36"/>
                <w:szCs w:val="36"/>
              </w:rPr>
            </w:pPr>
            <w:r>
              <w:rPr>
                <w:rFonts w:ascii="Arial Black" w:hAnsi="Arial Black"/>
                <w:sz w:val="36"/>
                <w:szCs w:val="36"/>
              </w:rPr>
              <w:t>Y/N</w:t>
            </w:r>
          </w:p>
        </w:tc>
        <w:tc>
          <w:tcPr>
            <w:tcW w:w="5732" w:type="dxa"/>
          </w:tcPr>
          <w:p w:rsidR="00D42391" w:rsidRDefault="00D42391" w:rsidP="001A7702">
            <w:pPr>
              <w:rPr>
                <w:rFonts w:ascii="Arial Black" w:hAnsi="Arial Black"/>
                <w:sz w:val="36"/>
                <w:szCs w:val="36"/>
              </w:rPr>
            </w:pPr>
          </w:p>
        </w:tc>
      </w:tr>
      <w:tr w:rsidR="00D42391" w:rsidTr="001A7702">
        <w:tc>
          <w:tcPr>
            <w:tcW w:w="2490" w:type="dxa"/>
          </w:tcPr>
          <w:p w:rsidR="00D42391" w:rsidRPr="00D42391" w:rsidRDefault="00D42391"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Replicability</w:t>
            </w:r>
          </w:p>
        </w:tc>
        <w:tc>
          <w:tcPr>
            <w:tcW w:w="1020" w:type="dxa"/>
          </w:tcPr>
          <w:p w:rsidR="00D42391" w:rsidRPr="00D42391" w:rsidRDefault="00D42391" w:rsidP="001A7702">
            <w:pPr>
              <w:rPr>
                <w:rFonts w:ascii="Arial Black" w:hAnsi="Arial Black"/>
                <w:b/>
                <w:sz w:val="28"/>
                <w:szCs w:val="28"/>
              </w:rPr>
            </w:pPr>
            <w:r w:rsidRPr="00D42391">
              <w:rPr>
                <w:rFonts w:ascii="Arial Black" w:hAnsi="Arial Black"/>
                <w:b/>
                <w:color w:val="00B050"/>
                <w:sz w:val="28"/>
                <w:szCs w:val="28"/>
              </w:rPr>
              <w:t>Y</w:t>
            </w:r>
            <w:r>
              <w:rPr>
                <w:rFonts w:ascii="Arial Black" w:hAnsi="Arial Black"/>
                <w:b/>
                <w:color w:val="00B050"/>
                <w:sz w:val="28"/>
                <w:szCs w:val="28"/>
              </w:rPr>
              <w:t>/</w:t>
            </w:r>
            <w:r w:rsidRPr="00D42391">
              <w:rPr>
                <w:rFonts w:ascii="Arial Black" w:hAnsi="Arial Black"/>
                <w:b/>
                <w:color w:val="FF0000"/>
                <w:sz w:val="28"/>
                <w:szCs w:val="28"/>
              </w:rPr>
              <w:t>N</w:t>
            </w:r>
          </w:p>
        </w:tc>
        <w:tc>
          <w:tcPr>
            <w:tcW w:w="5732" w:type="dxa"/>
          </w:tcPr>
          <w:p w:rsidR="00D42391" w:rsidRDefault="00D42391" w:rsidP="001A7702">
            <w:pPr>
              <w:rPr>
                <w:rFonts w:ascii="Bradley Hand ITC" w:hAnsi="Bradley Hand ITC"/>
                <w:sz w:val="24"/>
                <w:szCs w:val="24"/>
              </w:rPr>
            </w:pPr>
            <w:proofErr w:type="spellStart"/>
            <w:r w:rsidRPr="001A7702">
              <w:rPr>
                <w:rFonts w:ascii="Bradley Hand ITC" w:hAnsi="Bradley Hand ITC"/>
                <w:sz w:val="24"/>
                <w:szCs w:val="24"/>
              </w:rPr>
              <w:t>Pps</w:t>
            </w:r>
            <w:proofErr w:type="spellEnd"/>
            <w:r w:rsidRPr="001A7702">
              <w:rPr>
                <w:rFonts w:ascii="Bradley Hand ITC" w:hAnsi="Bradley Hand ITC"/>
                <w:sz w:val="24"/>
                <w:szCs w:val="24"/>
              </w:rPr>
              <w:t xml:space="preserve"> took different amount of time to complete the SD treatment sessions so not completely standardised</w:t>
            </w:r>
          </w:p>
          <w:p w:rsidR="001A7702" w:rsidRPr="001A7702" w:rsidRDefault="001A7702" w:rsidP="001A7702">
            <w:pPr>
              <w:rPr>
                <w:rFonts w:ascii="Bradley Hand ITC" w:hAnsi="Bradley Hand ITC"/>
                <w:sz w:val="24"/>
                <w:szCs w:val="24"/>
              </w:rPr>
            </w:pPr>
          </w:p>
        </w:tc>
      </w:tr>
      <w:tr w:rsidR="00D42391" w:rsidTr="001A7702">
        <w:tc>
          <w:tcPr>
            <w:tcW w:w="2490" w:type="dxa"/>
          </w:tcPr>
          <w:p w:rsidR="00D42391" w:rsidRPr="00D42391" w:rsidRDefault="00D42391"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Reliability</w:t>
            </w:r>
          </w:p>
        </w:tc>
        <w:tc>
          <w:tcPr>
            <w:tcW w:w="1020" w:type="dxa"/>
          </w:tcPr>
          <w:p w:rsidR="00D42391" w:rsidRPr="00D42391" w:rsidRDefault="00D42391" w:rsidP="001A7702">
            <w:pPr>
              <w:rPr>
                <w:rFonts w:ascii="Arial Black" w:hAnsi="Arial Black"/>
                <w:b/>
                <w:sz w:val="28"/>
                <w:szCs w:val="28"/>
              </w:rPr>
            </w:pPr>
            <w:r w:rsidRPr="00D42391">
              <w:rPr>
                <w:rFonts w:ascii="Arial Black" w:hAnsi="Arial Black"/>
                <w:b/>
                <w:color w:val="00B050"/>
                <w:sz w:val="28"/>
                <w:szCs w:val="28"/>
              </w:rPr>
              <w:t>Y/</w:t>
            </w:r>
            <w:r w:rsidRPr="00D42391">
              <w:rPr>
                <w:rFonts w:ascii="Arial Black" w:hAnsi="Arial Black"/>
                <w:b/>
                <w:color w:val="FF0000"/>
                <w:sz w:val="28"/>
                <w:szCs w:val="28"/>
              </w:rPr>
              <w:t>N</w:t>
            </w:r>
          </w:p>
        </w:tc>
        <w:tc>
          <w:tcPr>
            <w:tcW w:w="5732" w:type="dxa"/>
          </w:tcPr>
          <w:p w:rsidR="00D42391" w:rsidRPr="001A7702" w:rsidRDefault="00D42391" w:rsidP="001A7702">
            <w:pPr>
              <w:rPr>
                <w:rFonts w:ascii="Bradley Hand ITC" w:hAnsi="Bradley Hand ITC"/>
                <w:sz w:val="24"/>
                <w:szCs w:val="24"/>
              </w:rPr>
            </w:pPr>
            <w:r w:rsidRPr="001A7702">
              <w:rPr>
                <w:rFonts w:ascii="Bradley Hand ITC" w:hAnsi="Bradley Hand ITC"/>
                <w:sz w:val="24"/>
                <w:szCs w:val="24"/>
              </w:rPr>
              <w:t xml:space="preserve">The physiological measures should be </w:t>
            </w:r>
            <w:proofErr w:type="gramStart"/>
            <w:r w:rsidRPr="001A7702">
              <w:rPr>
                <w:rFonts w:ascii="Bradley Hand ITC" w:hAnsi="Bradley Hand ITC"/>
                <w:sz w:val="24"/>
                <w:szCs w:val="24"/>
              </w:rPr>
              <w:t>reliable,</w:t>
            </w:r>
            <w:proofErr w:type="gramEnd"/>
            <w:r w:rsidRPr="001A7702">
              <w:rPr>
                <w:rFonts w:ascii="Bradley Hand ITC" w:hAnsi="Bradley Hand ITC"/>
                <w:sz w:val="24"/>
                <w:szCs w:val="24"/>
              </w:rPr>
              <w:t xml:space="preserve"> </w:t>
            </w:r>
            <w:proofErr w:type="spellStart"/>
            <w:r w:rsidRPr="001A7702">
              <w:rPr>
                <w:rFonts w:ascii="Bradley Hand ITC" w:hAnsi="Bradley Hand ITC"/>
                <w:sz w:val="24"/>
                <w:szCs w:val="24"/>
              </w:rPr>
              <w:t>dat</w:t>
            </w:r>
            <w:proofErr w:type="spellEnd"/>
            <w:r w:rsidRPr="001A7702">
              <w:rPr>
                <w:rFonts w:ascii="Bradley Hand ITC" w:hAnsi="Bradley Hand ITC"/>
                <w:sz w:val="24"/>
                <w:szCs w:val="24"/>
              </w:rPr>
              <w:t xml:space="preserve"> was quantitative and does not require interpretation as such. </w:t>
            </w:r>
          </w:p>
        </w:tc>
      </w:tr>
      <w:tr w:rsidR="00D42391" w:rsidTr="001A7702">
        <w:tc>
          <w:tcPr>
            <w:tcW w:w="2490" w:type="dxa"/>
          </w:tcPr>
          <w:p w:rsidR="00D42391" w:rsidRPr="00D42391" w:rsidRDefault="00D42391"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Validity</w:t>
            </w:r>
          </w:p>
        </w:tc>
        <w:tc>
          <w:tcPr>
            <w:tcW w:w="1020" w:type="dxa"/>
          </w:tcPr>
          <w:p w:rsidR="00D42391" w:rsidRPr="00D42391" w:rsidRDefault="00D42391" w:rsidP="001A7702">
            <w:pPr>
              <w:rPr>
                <w:rFonts w:ascii="Arial Black" w:hAnsi="Arial Black"/>
                <w:b/>
                <w:sz w:val="28"/>
                <w:szCs w:val="28"/>
              </w:rPr>
            </w:pPr>
            <w:r w:rsidRPr="00D42391">
              <w:rPr>
                <w:rFonts w:ascii="Arial Black" w:hAnsi="Arial Black"/>
                <w:b/>
                <w:color w:val="00B050"/>
                <w:sz w:val="28"/>
                <w:szCs w:val="28"/>
              </w:rPr>
              <w:t>Y/</w:t>
            </w:r>
            <w:r w:rsidRPr="00D42391">
              <w:rPr>
                <w:rFonts w:ascii="Arial Black" w:hAnsi="Arial Black"/>
                <w:b/>
                <w:color w:val="FF0000"/>
                <w:sz w:val="28"/>
                <w:szCs w:val="28"/>
              </w:rPr>
              <w:t>N</w:t>
            </w:r>
          </w:p>
        </w:tc>
        <w:tc>
          <w:tcPr>
            <w:tcW w:w="5732" w:type="dxa"/>
          </w:tcPr>
          <w:p w:rsidR="00D42391" w:rsidRPr="001A7702" w:rsidRDefault="00D42391" w:rsidP="001A7702">
            <w:pPr>
              <w:rPr>
                <w:rFonts w:ascii="Bradley Hand ITC" w:hAnsi="Bradley Hand ITC"/>
                <w:sz w:val="24"/>
                <w:szCs w:val="24"/>
              </w:rPr>
            </w:pPr>
            <w:r w:rsidRPr="001A7702">
              <w:rPr>
                <w:rFonts w:ascii="Bradley Hand ITC" w:hAnsi="Bradley Hand ITC"/>
                <w:sz w:val="24"/>
                <w:szCs w:val="24"/>
              </w:rPr>
              <w:t>No as fear of flying courses are often conducted in group and they also generally would cost money, the fact these people got it for free might mean it was less likely to work.</w:t>
            </w:r>
          </w:p>
        </w:tc>
      </w:tr>
      <w:tr w:rsidR="00D42391" w:rsidTr="001A7702">
        <w:tc>
          <w:tcPr>
            <w:tcW w:w="2490" w:type="dxa"/>
          </w:tcPr>
          <w:p w:rsidR="00D42391" w:rsidRPr="00D42391" w:rsidRDefault="00D42391"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Reductionism</w:t>
            </w:r>
          </w:p>
        </w:tc>
        <w:tc>
          <w:tcPr>
            <w:tcW w:w="1020" w:type="dxa"/>
          </w:tcPr>
          <w:p w:rsidR="00D42391" w:rsidRPr="00D42391" w:rsidRDefault="00D42391" w:rsidP="001A7702">
            <w:pPr>
              <w:rPr>
                <w:rFonts w:ascii="Arial Black" w:hAnsi="Arial Black"/>
                <w:b/>
                <w:sz w:val="28"/>
                <w:szCs w:val="28"/>
              </w:rPr>
            </w:pPr>
            <w:r w:rsidRPr="00D42391">
              <w:rPr>
                <w:rFonts w:ascii="Arial Black" w:hAnsi="Arial Black"/>
                <w:b/>
                <w:color w:val="FF0000"/>
                <w:sz w:val="28"/>
                <w:szCs w:val="28"/>
              </w:rPr>
              <w:t>N</w:t>
            </w:r>
          </w:p>
        </w:tc>
        <w:tc>
          <w:tcPr>
            <w:tcW w:w="5732" w:type="dxa"/>
          </w:tcPr>
          <w:p w:rsidR="00D42391" w:rsidRPr="001A7702" w:rsidRDefault="00D42391" w:rsidP="001A7702">
            <w:pPr>
              <w:rPr>
                <w:rFonts w:ascii="Bradley Hand ITC" w:hAnsi="Bradley Hand ITC"/>
                <w:sz w:val="24"/>
                <w:szCs w:val="24"/>
              </w:rPr>
            </w:pPr>
            <w:r w:rsidRPr="001A7702">
              <w:rPr>
                <w:rFonts w:ascii="Bradley Hand ITC" w:hAnsi="Bradley Hand ITC"/>
                <w:sz w:val="24"/>
                <w:szCs w:val="24"/>
              </w:rPr>
              <w:t xml:space="preserve">No because they took self-reported measures as well as physiological s they were assessing thought and feelings as well as behaviour. </w:t>
            </w:r>
          </w:p>
        </w:tc>
      </w:tr>
      <w:tr w:rsidR="00D42391" w:rsidTr="001A7702">
        <w:tc>
          <w:tcPr>
            <w:tcW w:w="2490" w:type="dxa"/>
          </w:tcPr>
          <w:p w:rsidR="00D42391" w:rsidRPr="00D42391" w:rsidRDefault="00D42391"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Falsification</w:t>
            </w:r>
            <w:r w:rsidR="001A7702">
              <w:rPr>
                <w:rFonts w:ascii="Palatino Linotype" w:hAnsi="Palatino Linotype"/>
                <w:b/>
                <w:sz w:val="28"/>
                <w:szCs w:val="28"/>
              </w:rPr>
              <w:t xml:space="preserve"> and h</w:t>
            </w:r>
            <w:r w:rsidR="001A7702" w:rsidRPr="00D42391">
              <w:rPr>
                <w:rFonts w:ascii="Palatino Linotype" w:hAnsi="Palatino Linotype"/>
                <w:b/>
                <w:sz w:val="28"/>
                <w:szCs w:val="28"/>
              </w:rPr>
              <w:t>ypothesis testing</w:t>
            </w:r>
          </w:p>
        </w:tc>
        <w:tc>
          <w:tcPr>
            <w:tcW w:w="1020" w:type="dxa"/>
          </w:tcPr>
          <w:p w:rsidR="00D42391" w:rsidRPr="00D42391" w:rsidRDefault="00D42391" w:rsidP="001A7702">
            <w:pPr>
              <w:rPr>
                <w:rFonts w:ascii="Arial Black" w:hAnsi="Arial Black"/>
                <w:b/>
                <w:sz w:val="28"/>
                <w:szCs w:val="28"/>
              </w:rPr>
            </w:pPr>
            <w:r w:rsidRPr="00D42391">
              <w:rPr>
                <w:rFonts w:ascii="Arial Black" w:hAnsi="Arial Black"/>
                <w:b/>
                <w:color w:val="00B050"/>
                <w:sz w:val="28"/>
                <w:szCs w:val="28"/>
              </w:rPr>
              <w:t>Y</w:t>
            </w:r>
          </w:p>
        </w:tc>
        <w:tc>
          <w:tcPr>
            <w:tcW w:w="5732" w:type="dxa"/>
          </w:tcPr>
          <w:p w:rsidR="00D42391" w:rsidRPr="001A7702" w:rsidRDefault="00D42391" w:rsidP="001A7702">
            <w:pPr>
              <w:rPr>
                <w:rFonts w:ascii="Bradley Hand ITC" w:hAnsi="Bradley Hand ITC"/>
                <w:sz w:val="24"/>
                <w:szCs w:val="24"/>
              </w:rPr>
            </w:pPr>
            <w:r w:rsidRPr="001A7702">
              <w:rPr>
                <w:rFonts w:ascii="Bradley Hand ITC" w:hAnsi="Bradley Hand ITC"/>
                <w:sz w:val="24"/>
                <w:szCs w:val="24"/>
              </w:rPr>
              <w:t xml:space="preserve">Yes because Capafons set out to test </w:t>
            </w:r>
            <w:r w:rsidR="001A7702" w:rsidRPr="001A7702">
              <w:rPr>
                <w:rFonts w:ascii="Bradley Hand ITC" w:hAnsi="Bradley Hand ITC"/>
                <w:sz w:val="24"/>
                <w:szCs w:val="24"/>
              </w:rPr>
              <w:t>null hypotheses</w:t>
            </w:r>
            <w:r w:rsidRPr="001A7702">
              <w:rPr>
                <w:rFonts w:ascii="Bradley Hand ITC" w:hAnsi="Bradley Hand ITC"/>
                <w:sz w:val="24"/>
                <w:szCs w:val="24"/>
              </w:rPr>
              <w:t>, i.e. to falsify claims such as…</w:t>
            </w:r>
          </w:p>
          <w:p w:rsidR="00D42391" w:rsidRPr="001A7702" w:rsidRDefault="00D42391" w:rsidP="001A7702">
            <w:pPr>
              <w:rPr>
                <w:rFonts w:ascii="Bradley Hand ITC" w:hAnsi="Bradley Hand ITC"/>
                <w:b/>
                <w:sz w:val="24"/>
                <w:szCs w:val="24"/>
              </w:rPr>
            </w:pPr>
            <w:r w:rsidRPr="001A7702">
              <w:rPr>
                <w:rFonts w:ascii="Bradley Hand ITC" w:hAnsi="Bradley Hand ITC"/>
                <w:sz w:val="24"/>
                <w:szCs w:val="24"/>
              </w:rPr>
              <w:t>There will be no significant difference in the heart rate of people who have been through SD and people who have not when watching the video of the flight.</w:t>
            </w:r>
          </w:p>
        </w:tc>
      </w:tr>
      <w:tr w:rsidR="00D42391" w:rsidTr="001A7702">
        <w:tc>
          <w:tcPr>
            <w:tcW w:w="2490" w:type="dxa"/>
          </w:tcPr>
          <w:p w:rsidR="00D42391" w:rsidRPr="00D42391" w:rsidRDefault="00D42391"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Empiricism</w:t>
            </w:r>
          </w:p>
        </w:tc>
        <w:tc>
          <w:tcPr>
            <w:tcW w:w="1020" w:type="dxa"/>
          </w:tcPr>
          <w:p w:rsidR="00D42391" w:rsidRPr="00D42391" w:rsidRDefault="00D42391" w:rsidP="001A7702">
            <w:pPr>
              <w:rPr>
                <w:rFonts w:ascii="Arial Black" w:hAnsi="Arial Black"/>
                <w:b/>
                <w:sz w:val="28"/>
                <w:szCs w:val="28"/>
              </w:rPr>
            </w:pPr>
            <w:r w:rsidRPr="00D42391">
              <w:rPr>
                <w:rFonts w:ascii="Arial Black" w:hAnsi="Arial Black"/>
                <w:b/>
                <w:color w:val="00B050"/>
                <w:sz w:val="28"/>
                <w:szCs w:val="28"/>
              </w:rPr>
              <w:t>Y/</w:t>
            </w:r>
            <w:r w:rsidRPr="00D42391">
              <w:rPr>
                <w:rFonts w:ascii="Arial Black" w:hAnsi="Arial Black"/>
                <w:b/>
                <w:color w:val="FF0000"/>
                <w:sz w:val="28"/>
                <w:szCs w:val="28"/>
              </w:rPr>
              <w:t>N</w:t>
            </w:r>
          </w:p>
        </w:tc>
        <w:tc>
          <w:tcPr>
            <w:tcW w:w="5732" w:type="dxa"/>
          </w:tcPr>
          <w:p w:rsidR="00D42391" w:rsidRPr="001A7702" w:rsidRDefault="001A7702" w:rsidP="001A7702">
            <w:pPr>
              <w:rPr>
                <w:rFonts w:ascii="Bradley Hand ITC" w:hAnsi="Bradley Hand ITC"/>
                <w:sz w:val="24"/>
                <w:szCs w:val="24"/>
              </w:rPr>
            </w:pPr>
            <w:r w:rsidRPr="001A7702">
              <w:rPr>
                <w:rFonts w:ascii="Bradley Hand ITC" w:hAnsi="Bradley Hand ITC"/>
                <w:sz w:val="24"/>
                <w:szCs w:val="24"/>
              </w:rPr>
              <w:t>Observable to the senses; physiological data</w:t>
            </w:r>
          </w:p>
        </w:tc>
      </w:tr>
      <w:tr w:rsidR="00D42391" w:rsidTr="001A7702">
        <w:tc>
          <w:tcPr>
            <w:tcW w:w="2490" w:type="dxa"/>
          </w:tcPr>
          <w:p w:rsidR="00D42391" w:rsidRPr="00D42391" w:rsidRDefault="00D42391" w:rsidP="001A7702">
            <w:pPr>
              <w:shd w:val="clear" w:color="auto" w:fill="FFFFFF"/>
              <w:spacing w:before="100" w:beforeAutospacing="1" w:after="100" w:afterAutospacing="1"/>
              <w:rPr>
                <w:rFonts w:ascii="Palatino Linotype" w:eastAsia="Times New Roman" w:hAnsi="Palatino Linotype" w:cs="Times New Roman"/>
                <w:b/>
                <w:color w:val="6A6C6E"/>
                <w:sz w:val="28"/>
                <w:szCs w:val="28"/>
                <w:lang w:eastAsia="en-GB"/>
              </w:rPr>
            </w:pPr>
            <w:r w:rsidRPr="00D42391">
              <w:rPr>
                <w:rFonts w:ascii="Palatino Linotype" w:eastAsia="Times New Roman" w:hAnsi="Palatino Linotype" w:cs="Times New Roman"/>
                <w:b/>
                <w:sz w:val="28"/>
                <w:szCs w:val="28"/>
                <w:lang w:eastAsia="en-GB"/>
              </w:rPr>
              <w:t>The use of controls</w:t>
            </w:r>
          </w:p>
        </w:tc>
        <w:tc>
          <w:tcPr>
            <w:tcW w:w="1020" w:type="dxa"/>
          </w:tcPr>
          <w:p w:rsidR="00D42391" w:rsidRPr="00D42391" w:rsidRDefault="00D42391" w:rsidP="001A7702">
            <w:pPr>
              <w:rPr>
                <w:rFonts w:ascii="Arial Black" w:hAnsi="Arial Black"/>
                <w:b/>
                <w:sz w:val="28"/>
                <w:szCs w:val="28"/>
              </w:rPr>
            </w:pPr>
            <w:r w:rsidRPr="00D42391">
              <w:rPr>
                <w:rFonts w:ascii="Arial Black" w:hAnsi="Arial Black"/>
                <w:b/>
                <w:color w:val="00B050"/>
                <w:sz w:val="28"/>
                <w:szCs w:val="28"/>
              </w:rPr>
              <w:t>Y</w:t>
            </w:r>
          </w:p>
        </w:tc>
        <w:tc>
          <w:tcPr>
            <w:tcW w:w="5732" w:type="dxa"/>
          </w:tcPr>
          <w:p w:rsidR="00D42391" w:rsidRPr="001A7702" w:rsidRDefault="001A7702" w:rsidP="001A7702">
            <w:pPr>
              <w:rPr>
                <w:rFonts w:ascii="Bradley Hand ITC" w:hAnsi="Bradley Hand ITC"/>
                <w:sz w:val="24"/>
                <w:szCs w:val="24"/>
              </w:rPr>
            </w:pPr>
            <w:r w:rsidRPr="001A7702">
              <w:rPr>
                <w:rFonts w:ascii="Bradley Hand ITC" w:hAnsi="Bradley Hand ITC"/>
                <w:sz w:val="24"/>
                <w:szCs w:val="24"/>
              </w:rPr>
              <w:t>Yes as they used the matched control group for comparison</w:t>
            </w:r>
          </w:p>
        </w:tc>
      </w:tr>
    </w:tbl>
    <w:p w:rsidR="001A7702" w:rsidRDefault="001A7702" w:rsidP="001A7702">
      <w:pPr>
        <w:tabs>
          <w:tab w:val="left" w:pos="2580"/>
        </w:tabs>
        <w:rPr>
          <w:rFonts w:ascii="Arial Black" w:hAnsi="Arial Black"/>
          <w:sz w:val="36"/>
          <w:szCs w:val="36"/>
        </w:rPr>
      </w:pPr>
      <w:r>
        <w:rPr>
          <w:rFonts w:ascii="Arial Black" w:hAnsi="Arial Black"/>
          <w:sz w:val="36"/>
          <w:szCs w:val="36"/>
        </w:rPr>
        <w:tab/>
      </w:r>
    </w:p>
    <w:p w:rsidR="001A7702" w:rsidRDefault="001A7702">
      <w:pPr>
        <w:rPr>
          <w:rFonts w:ascii="Arial Black" w:hAnsi="Arial Black"/>
          <w:sz w:val="36"/>
          <w:szCs w:val="36"/>
        </w:rPr>
      </w:pPr>
      <w:r>
        <w:rPr>
          <w:rFonts w:ascii="Arial Black" w:hAnsi="Arial Black"/>
          <w:sz w:val="36"/>
          <w:szCs w:val="36"/>
        </w:rPr>
        <w:br w:type="page"/>
      </w:r>
    </w:p>
    <w:p w:rsidR="001A7702" w:rsidRDefault="001A7702">
      <w:pPr>
        <w:rPr>
          <w:rFonts w:ascii="Arial Black" w:hAnsi="Arial Black"/>
          <w:sz w:val="36"/>
          <w:szCs w:val="36"/>
        </w:rPr>
      </w:pPr>
      <w:r>
        <w:rPr>
          <w:rFonts w:ascii="Arial Black" w:hAnsi="Arial Black"/>
          <w:sz w:val="36"/>
          <w:szCs w:val="36"/>
        </w:rPr>
        <w:lastRenderedPageBreak/>
        <w:br w:type="page"/>
      </w:r>
    </w:p>
    <w:p w:rsidR="001A7702" w:rsidRDefault="001A7702" w:rsidP="001A7702">
      <w:pPr>
        <w:rPr>
          <w:rFonts w:ascii="Lucida Handwriting" w:hAnsi="Lucida Handwriting"/>
          <w:sz w:val="36"/>
          <w:szCs w:val="36"/>
        </w:rPr>
      </w:pPr>
      <w:r>
        <w:rPr>
          <w:rFonts w:ascii="Arial Black" w:hAnsi="Arial Black"/>
          <w:noProof/>
          <w:sz w:val="36"/>
          <w:szCs w:val="36"/>
          <w:lang w:eastAsia="en-GB"/>
        </w:rPr>
        <w:lastRenderedPageBreak/>
        <w:drawing>
          <wp:anchor distT="0" distB="0" distL="114300" distR="114300" simplePos="0" relativeHeight="251660288" behindDoc="1" locked="0" layoutInCell="1" allowOverlap="1" wp14:anchorId="44C213C1" wp14:editId="647CB019">
            <wp:simplePos x="0" y="0"/>
            <wp:positionH relativeFrom="column">
              <wp:posOffset>3209925</wp:posOffset>
            </wp:positionH>
            <wp:positionV relativeFrom="paragraph">
              <wp:posOffset>-65405</wp:posOffset>
            </wp:positionV>
            <wp:extent cx="2496185" cy="1666875"/>
            <wp:effectExtent l="0" t="0" r="0" b="9525"/>
            <wp:wrapTight wrapText="bothSides">
              <wp:wrapPolygon edited="0">
                <wp:start x="0" y="0"/>
                <wp:lineTo x="0" y="21477"/>
                <wp:lineTo x="21430" y="21477"/>
                <wp:lineTo x="2143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ar of flying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96185" cy="1666875"/>
                    </a:xfrm>
                    <a:prstGeom prst="rect">
                      <a:avLst/>
                    </a:prstGeom>
                  </pic:spPr>
                </pic:pic>
              </a:graphicData>
            </a:graphic>
            <wp14:sizeRelH relativeFrom="page">
              <wp14:pctWidth>0</wp14:pctWidth>
            </wp14:sizeRelH>
            <wp14:sizeRelV relativeFrom="page">
              <wp14:pctHeight>0</wp14:pctHeight>
            </wp14:sizeRelV>
          </wp:anchor>
        </w:drawing>
      </w:r>
      <w:r w:rsidRPr="00D42391">
        <w:rPr>
          <w:rFonts w:ascii="Lucida Handwriting" w:hAnsi="Lucida Handwriting"/>
          <w:sz w:val="36"/>
          <w:szCs w:val="36"/>
        </w:rPr>
        <w:t xml:space="preserve">The Scientific Status of Psychology: </w:t>
      </w:r>
    </w:p>
    <w:p w:rsidR="001A7702" w:rsidRDefault="001A7702" w:rsidP="001A7702">
      <w:pPr>
        <w:rPr>
          <w:rFonts w:ascii="Arial Black" w:hAnsi="Arial Black"/>
          <w:sz w:val="36"/>
          <w:szCs w:val="36"/>
          <w:u w:val="single"/>
        </w:rPr>
      </w:pPr>
      <w:r w:rsidRPr="001A7702">
        <w:rPr>
          <w:rFonts w:ascii="Arial Black" w:hAnsi="Arial Black"/>
          <w:sz w:val="36"/>
          <w:szCs w:val="36"/>
          <w:u w:val="single"/>
        </w:rPr>
        <w:t>Ev</w:t>
      </w:r>
      <w:bookmarkStart w:id="0" w:name="_GoBack"/>
      <w:bookmarkEnd w:id="0"/>
      <w:r w:rsidRPr="001A7702">
        <w:rPr>
          <w:rFonts w:ascii="Arial Black" w:hAnsi="Arial Black"/>
          <w:sz w:val="36"/>
          <w:szCs w:val="36"/>
          <w:u w:val="single"/>
        </w:rPr>
        <w:t>aluating Capafons</w:t>
      </w:r>
    </w:p>
    <w:tbl>
      <w:tblPr>
        <w:tblStyle w:val="TableGrid"/>
        <w:tblpPr w:leftFromText="180" w:rightFromText="180" w:vertAnchor="text" w:horzAnchor="margin" w:tblpY="562"/>
        <w:tblOverlap w:val="never"/>
        <w:tblW w:w="0" w:type="auto"/>
        <w:tblLook w:val="04A0" w:firstRow="1" w:lastRow="0" w:firstColumn="1" w:lastColumn="0" w:noHBand="0" w:noVBand="1"/>
      </w:tblPr>
      <w:tblGrid>
        <w:gridCol w:w="2482"/>
        <w:gridCol w:w="1116"/>
        <w:gridCol w:w="5644"/>
      </w:tblGrid>
      <w:tr w:rsidR="001A7702" w:rsidTr="001A7702">
        <w:tc>
          <w:tcPr>
            <w:tcW w:w="2482" w:type="dxa"/>
          </w:tcPr>
          <w:p w:rsidR="001A7702" w:rsidRDefault="001A7702" w:rsidP="001A7702">
            <w:pPr>
              <w:rPr>
                <w:rFonts w:ascii="Arial Black" w:hAnsi="Arial Black"/>
                <w:sz w:val="36"/>
                <w:szCs w:val="36"/>
              </w:rPr>
            </w:pPr>
          </w:p>
        </w:tc>
        <w:tc>
          <w:tcPr>
            <w:tcW w:w="1116" w:type="dxa"/>
          </w:tcPr>
          <w:p w:rsidR="001A7702" w:rsidRDefault="001A7702" w:rsidP="001A7702">
            <w:pPr>
              <w:rPr>
                <w:rFonts w:ascii="Arial Black" w:hAnsi="Arial Black"/>
                <w:sz w:val="36"/>
                <w:szCs w:val="36"/>
              </w:rPr>
            </w:pPr>
            <w:r>
              <w:rPr>
                <w:rFonts w:ascii="Arial Black" w:hAnsi="Arial Black"/>
                <w:sz w:val="36"/>
                <w:szCs w:val="36"/>
              </w:rPr>
              <w:t>Y/N?</w:t>
            </w:r>
          </w:p>
        </w:tc>
        <w:tc>
          <w:tcPr>
            <w:tcW w:w="5644" w:type="dxa"/>
          </w:tcPr>
          <w:p w:rsidR="001A7702" w:rsidRDefault="001A7702" w:rsidP="001A7702">
            <w:pPr>
              <w:rPr>
                <w:rFonts w:ascii="Arial Black" w:hAnsi="Arial Black"/>
                <w:sz w:val="36"/>
                <w:szCs w:val="36"/>
              </w:rPr>
            </w:pPr>
          </w:p>
        </w:tc>
      </w:tr>
      <w:tr w:rsidR="001A7702" w:rsidTr="001A7702">
        <w:tc>
          <w:tcPr>
            <w:tcW w:w="2482" w:type="dxa"/>
          </w:tcPr>
          <w:p w:rsidR="001A7702" w:rsidRPr="00D42391" w:rsidRDefault="001A7702"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Replicab</w:t>
            </w:r>
            <w:r>
              <w:rPr>
                <w:rFonts w:ascii="Palatino Linotype" w:hAnsi="Palatino Linotype"/>
                <w:b/>
                <w:sz w:val="28"/>
                <w:szCs w:val="28"/>
              </w:rPr>
              <w:t>le?</w:t>
            </w:r>
          </w:p>
        </w:tc>
        <w:tc>
          <w:tcPr>
            <w:tcW w:w="1116" w:type="dxa"/>
          </w:tcPr>
          <w:p w:rsidR="001A7702" w:rsidRPr="00D42391" w:rsidRDefault="001A7702" w:rsidP="001A7702">
            <w:pPr>
              <w:rPr>
                <w:rFonts w:ascii="Arial Black" w:hAnsi="Arial Black"/>
                <w:b/>
                <w:sz w:val="28"/>
                <w:szCs w:val="28"/>
              </w:rPr>
            </w:pPr>
          </w:p>
        </w:tc>
        <w:tc>
          <w:tcPr>
            <w:tcW w:w="5644" w:type="dxa"/>
          </w:tcPr>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Pr="001A7702" w:rsidRDefault="001A7702" w:rsidP="001A7702">
            <w:pPr>
              <w:rPr>
                <w:rFonts w:ascii="Bradley Hand ITC" w:hAnsi="Bradley Hand ITC"/>
                <w:sz w:val="24"/>
                <w:szCs w:val="24"/>
              </w:rPr>
            </w:pPr>
          </w:p>
        </w:tc>
      </w:tr>
      <w:tr w:rsidR="001A7702" w:rsidTr="001A7702">
        <w:tc>
          <w:tcPr>
            <w:tcW w:w="2482" w:type="dxa"/>
          </w:tcPr>
          <w:p w:rsidR="001A7702" w:rsidRPr="00D42391" w:rsidRDefault="001A7702"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Reliab</w:t>
            </w:r>
            <w:r>
              <w:rPr>
                <w:rFonts w:ascii="Palatino Linotype" w:hAnsi="Palatino Linotype"/>
                <w:b/>
                <w:sz w:val="28"/>
                <w:szCs w:val="28"/>
              </w:rPr>
              <w:t>le?</w:t>
            </w:r>
          </w:p>
        </w:tc>
        <w:tc>
          <w:tcPr>
            <w:tcW w:w="1116" w:type="dxa"/>
          </w:tcPr>
          <w:p w:rsidR="001A7702" w:rsidRPr="00D42391" w:rsidRDefault="001A7702" w:rsidP="001A7702">
            <w:pPr>
              <w:rPr>
                <w:rFonts w:ascii="Arial Black" w:hAnsi="Arial Black"/>
                <w:b/>
                <w:sz w:val="28"/>
                <w:szCs w:val="28"/>
              </w:rPr>
            </w:pPr>
          </w:p>
        </w:tc>
        <w:tc>
          <w:tcPr>
            <w:tcW w:w="5644" w:type="dxa"/>
          </w:tcPr>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Pr="001A7702" w:rsidRDefault="001A7702" w:rsidP="001A7702">
            <w:pPr>
              <w:rPr>
                <w:rFonts w:ascii="Bradley Hand ITC" w:hAnsi="Bradley Hand ITC"/>
                <w:sz w:val="24"/>
                <w:szCs w:val="24"/>
              </w:rPr>
            </w:pPr>
          </w:p>
        </w:tc>
      </w:tr>
      <w:tr w:rsidR="001A7702" w:rsidTr="001A7702">
        <w:tc>
          <w:tcPr>
            <w:tcW w:w="2482" w:type="dxa"/>
          </w:tcPr>
          <w:p w:rsidR="001A7702" w:rsidRPr="00D42391" w:rsidRDefault="001A7702"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Valid</w:t>
            </w:r>
            <w:r>
              <w:rPr>
                <w:rFonts w:ascii="Palatino Linotype" w:hAnsi="Palatino Linotype"/>
                <w:b/>
                <w:sz w:val="28"/>
                <w:szCs w:val="28"/>
              </w:rPr>
              <w:t>? (Internally and ecologically?</w:t>
            </w:r>
          </w:p>
        </w:tc>
        <w:tc>
          <w:tcPr>
            <w:tcW w:w="1116" w:type="dxa"/>
          </w:tcPr>
          <w:p w:rsidR="001A7702" w:rsidRPr="00D42391" w:rsidRDefault="001A7702" w:rsidP="001A7702">
            <w:pPr>
              <w:rPr>
                <w:rFonts w:ascii="Arial Black" w:hAnsi="Arial Black"/>
                <w:b/>
                <w:sz w:val="28"/>
                <w:szCs w:val="28"/>
              </w:rPr>
            </w:pPr>
          </w:p>
        </w:tc>
        <w:tc>
          <w:tcPr>
            <w:tcW w:w="5644" w:type="dxa"/>
          </w:tcPr>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Pr="001A7702" w:rsidRDefault="001A7702" w:rsidP="001A7702">
            <w:pPr>
              <w:rPr>
                <w:rFonts w:ascii="Bradley Hand ITC" w:hAnsi="Bradley Hand ITC"/>
                <w:sz w:val="24"/>
                <w:szCs w:val="24"/>
              </w:rPr>
            </w:pPr>
          </w:p>
        </w:tc>
      </w:tr>
      <w:tr w:rsidR="001A7702" w:rsidTr="001A7702">
        <w:tc>
          <w:tcPr>
            <w:tcW w:w="2482" w:type="dxa"/>
          </w:tcPr>
          <w:p w:rsidR="001A7702" w:rsidRPr="00D42391" w:rsidRDefault="001A7702"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Reductioni</w:t>
            </w:r>
            <w:r>
              <w:rPr>
                <w:rFonts w:ascii="Palatino Linotype" w:hAnsi="Palatino Linotype"/>
                <w:b/>
                <w:sz w:val="28"/>
                <w:szCs w:val="28"/>
              </w:rPr>
              <w:t>st?</w:t>
            </w:r>
          </w:p>
        </w:tc>
        <w:tc>
          <w:tcPr>
            <w:tcW w:w="1116" w:type="dxa"/>
          </w:tcPr>
          <w:p w:rsidR="001A7702" w:rsidRPr="00D42391" w:rsidRDefault="001A7702" w:rsidP="001A7702">
            <w:pPr>
              <w:rPr>
                <w:rFonts w:ascii="Arial Black" w:hAnsi="Arial Black"/>
                <w:b/>
                <w:sz w:val="28"/>
                <w:szCs w:val="28"/>
              </w:rPr>
            </w:pPr>
          </w:p>
        </w:tc>
        <w:tc>
          <w:tcPr>
            <w:tcW w:w="5644" w:type="dxa"/>
          </w:tcPr>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Pr="001A7702" w:rsidRDefault="001A7702" w:rsidP="001A7702">
            <w:pPr>
              <w:rPr>
                <w:rFonts w:ascii="Bradley Hand ITC" w:hAnsi="Bradley Hand ITC"/>
                <w:sz w:val="24"/>
                <w:szCs w:val="24"/>
              </w:rPr>
            </w:pPr>
          </w:p>
        </w:tc>
      </w:tr>
      <w:tr w:rsidR="001A7702" w:rsidTr="001A7702">
        <w:trPr>
          <w:trHeight w:val="1283"/>
        </w:trPr>
        <w:tc>
          <w:tcPr>
            <w:tcW w:w="2482" w:type="dxa"/>
          </w:tcPr>
          <w:p w:rsidR="001A7702" w:rsidRPr="00D42391" w:rsidRDefault="001A7702"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Falsification</w:t>
            </w:r>
            <w:r>
              <w:rPr>
                <w:rFonts w:ascii="Palatino Linotype" w:hAnsi="Palatino Linotype"/>
                <w:b/>
                <w:sz w:val="28"/>
                <w:szCs w:val="28"/>
              </w:rPr>
              <w:t xml:space="preserve"> and h</w:t>
            </w:r>
            <w:r w:rsidRPr="00D42391">
              <w:rPr>
                <w:rFonts w:ascii="Palatino Linotype" w:hAnsi="Palatino Linotype"/>
                <w:b/>
                <w:sz w:val="28"/>
                <w:szCs w:val="28"/>
              </w:rPr>
              <w:t>ypothesis testing</w:t>
            </w:r>
          </w:p>
        </w:tc>
        <w:tc>
          <w:tcPr>
            <w:tcW w:w="1116" w:type="dxa"/>
          </w:tcPr>
          <w:p w:rsidR="001A7702" w:rsidRPr="00D42391" w:rsidRDefault="001A7702" w:rsidP="001A7702">
            <w:pPr>
              <w:rPr>
                <w:rFonts w:ascii="Arial Black" w:hAnsi="Arial Black"/>
                <w:b/>
                <w:sz w:val="28"/>
                <w:szCs w:val="28"/>
              </w:rPr>
            </w:pPr>
          </w:p>
        </w:tc>
        <w:tc>
          <w:tcPr>
            <w:tcW w:w="5644" w:type="dxa"/>
          </w:tcPr>
          <w:p w:rsidR="001A7702" w:rsidRPr="001A7702" w:rsidRDefault="001A7702" w:rsidP="001A7702">
            <w:pPr>
              <w:rPr>
                <w:rFonts w:ascii="Bradley Hand ITC" w:hAnsi="Bradley Hand ITC"/>
                <w:b/>
                <w:sz w:val="24"/>
                <w:szCs w:val="24"/>
              </w:rPr>
            </w:pPr>
          </w:p>
        </w:tc>
      </w:tr>
      <w:tr w:rsidR="001A7702" w:rsidTr="001A7702">
        <w:tc>
          <w:tcPr>
            <w:tcW w:w="2482" w:type="dxa"/>
          </w:tcPr>
          <w:p w:rsidR="001A7702" w:rsidRPr="00D42391" w:rsidRDefault="001A7702" w:rsidP="001A7702">
            <w:pPr>
              <w:shd w:val="clear" w:color="auto" w:fill="FFFFFF"/>
              <w:spacing w:before="100" w:beforeAutospacing="1" w:after="100" w:afterAutospacing="1"/>
              <w:rPr>
                <w:rFonts w:ascii="Palatino Linotype" w:hAnsi="Palatino Linotype"/>
                <w:b/>
                <w:sz w:val="28"/>
                <w:szCs w:val="28"/>
              </w:rPr>
            </w:pPr>
            <w:r w:rsidRPr="00D42391">
              <w:rPr>
                <w:rFonts w:ascii="Palatino Linotype" w:hAnsi="Palatino Linotype"/>
                <w:b/>
                <w:sz w:val="28"/>
                <w:szCs w:val="28"/>
              </w:rPr>
              <w:t>Empiric</w:t>
            </w:r>
            <w:r>
              <w:rPr>
                <w:rFonts w:ascii="Palatino Linotype" w:hAnsi="Palatino Linotype"/>
                <w:b/>
                <w:sz w:val="28"/>
                <w:szCs w:val="28"/>
              </w:rPr>
              <w:t>al evidence?</w:t>
            </w:r>
          </w:p>
        </w:tc>
        <w:tc>
          <w:tcPr>
            <w:tcW w:w="1116" w:type="dxa"/>
          </w:tcPr>
          <w:p w:rsidR="001A7702" w:rsidRPr="00D42391" w:rsidRDefault="001A7702" w:rsidP="001A7702">
            <w:pPr>
              <w:rPr>
                <w:rFonts w:ascii="Arial Black" w:hAnsi="Arial Black"/>
                <w:b/>
                <w:sz w:val="28"/>
                <w:szCs w:val="28"/>
              </w:rPr>
            </w:pPr>
          </w:p>
        </w:tc>
        <w:tc>
          <w:tcPr>
            <w:tcW w:w="5644" w:type="dxa"/>
          </w:tcPr>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ind w:firstLine="720"/>
              <w:rPr>
                <w:rFonts w:ascii="Bradley Hand ITC" w:hAnsi="Bradley Hand ITC"/>
                <w:sz w:val="24"/>
                <w:szCs w:val="24"/>
              </w:rPr>
            </w:pPr>
          </w:p>
          <w:p w:rsidR="001A7702" w:rsidRDefault="001A7702" w:rsidP="001A7702">
            <w:pPr>
              <w:ind w:firstLine="720"/>
              <w:rPr>
                <w:rFonts w:ascii="Bradley Hand ITC" w:hAnsi="Bradley Hand ITC"/>
                <w:sz w:val="24"/>
                <w:szCs w:val="24"/>
              </w:rPr>
            </w:pPr>
          </w:p>
          <w:p w:rsidR="001A7702" w:rsidRPr="001A7702" w:rsidRDefault="001A7702" w:rsidP="001A7702">
            <w:pPr>
              <w:rPr>
                <w:rFonts w:ascii="Bradley Hand ITC" w:hAnsi="Bradley Hand ITC"/>
                <w:sz w:val="24"/>
                <w:szCs w:val="24"/>
              </w:rPr>
            </w:pPr>
          </w:p>
        </w:tc>
      </w:tr>
      <w:tr w:rsidR="001A7702" w:rsidTr="001A7702">
        <w:tc>
          <w:tcPr>
            <w:tcW w:w="2482" w:type="dxa"/>
          </w:tcPr>
          <w:p w:rsidR="001A7702" w:rsidRPr="00D42391" w:rsidRDefault="001A7702" w:rsidP="001A7702">
            <w:pPr>
              <w:shd w:val="clear" w:color="auto" w:fill="FFFFFF"/>
              <w:spacing w:before="100" w:beforeAutospacing="1" w:after="100" w:afterAutospacing="1"/>
              <w:rPr>
                <w:rFonts w:ascii="Palatino Linotype" w:eastAsia="Times New Roman" w:hAnsi="Palatino Linotype" w:cs="Times New Roman"/>
                <w:b/>
                <w:color w:val="6A6C6E"/>
                <w:sz w:val="28"/>
                <w:szCs w:val="28"/>
                <w:lang w:eastAsia="en-GB"/>
              </w:rPr>
            </w:pPr>
            <w:r>
              <w:rPr>
                <w:rFonts w:ascii="Palatino Linotype" w:eastAsia="Times New Roman" w:hAnsi="Palatino Linotype" w:cs="Times New Roman"/>
                <w:b/>
                <w:sz w:val="28"/>
                <w:szCs w:val="28"/>
                <w:lang w:eastAsia="en-GB"/>
              </w:rPr>
              <w:t>Use of C</w:t>
            </w:r>
            <w:r w:rsidRPr="00D42391">
              <w:rPr>
                <w:rFonts w:ascii="Palatino Linotype" w:eastAsia="Times New Roman" w:hAnsi="Palatino Linotype" w:cs="Times New Roman"/>
                <w:b/>
                <w:sz w:val="28"/>
                <w:szCs w:val="28"/>
                <w:lang w:eastAsia="en-GB"/>
              </w:rPr>
              <w:t>ontrols</w:t>
            </w:r>
            <w:r>
              <w:rPr>
                <w:rFonts w:ascii="Palatino Linotype" w:eastAsia="Times New Roman" w:hAnsi="Palatino Linotype" w:cs="Times New Roman"/>
                <w:b/>
                <w:sz w:val="28"/>
                <w:szCs w:val="28"/>
                <w:lang w:eastAsia="en-GB"/>
              </w:rPr>
              <w:t>?</w:t>
            </w:r>
          </w:p>
        </w:tc>
        <w:tc>
          <w:tcPr>
            <w:tcW w:w="1116" w:type="dxa"/>
          </w:tcPr>
          <w:p w:rsidR="001A7702" w:rsidRPr="00D42391" w:rsidRDefault="001A7702" w:rsidP="001A7702">
            <w:pPr>
              <w:rPr>
                <w:rFonts w:ascii="Arial Black" w:hAnsi="Arial Black"/>
                <w:b/>
                <w:sz w:val="28"/>
                <w:szCs w:val="28"/>
              </w:rPr>
            </w:pPr>
          </w:p>
        </w:tc>
        <w:tc>
          <w:tcPr>
            <w:tcW w:w="5644" w:type="dxa"/>
          </w:tcPr>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Default="001A7702" w:rsidP="001A7702">
            <w:pPr>
              <w:rPr>
                <w:rFonts w:ascii="Bradley Hand ITC" w:hAnsi="Bradley Hand ITC"/>
                <w:sz w:val="24"/>
                <w:szCs w:val="24"/>
              </w:rPr>
            </w:pPr>
          </w:p>
          <w:p w:rsidR="001A7702" w:rsidRPr="001A7702" w:rsidRDefault="001A7702" w:rsidP="001A7702">
            <w:pPr>
              <w:rPr>
                <w:rFonts w:ascii="Bradley Hand ITC" w:hAnsi="Bradley Hand ITC"/>
                <w:sz w:val="24"/>
                <w:szCs w:val="24"/>
              </w:rPr>
            </w:pPr>
          </w:p>
        </w:tc>
      </w:tr>
    </w:tbl>
    <w:p w:rsidR="00D42391" w:rsidRDefault="00D42391" w:rsidP="001A7702">
      <w:pPr>
        <w:rPr>
          <w:rFonts w:ascii="Arial Black" w:hAnsi="Arial Black"/>
          <w:sz w:val="36"/>
          <w:szCs w:val="36"/>
        </w:rPr>
      </w:pPr>
    </w:p>
    <w:p w:rsidR="00D42391" w:rsidRPr="00D42391" w:rsidRDefault="00D42391">
      <w:pPr>
        <w:rPr>
          <w:rFonts w:ascii="Arial Black" w:hAnsi="Arial Black"/>
          <w:sz w:val="36"/>
          <w:szCs w:val="36"/>
        </w:rPr>
      </w:pPr>
    </w:p>
    <w:sectPr w:rsidR="00D42391" w:rsidRPr="00D42391" w:rsidSect="00D42391">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2391" w:rsidRDefault="00D42391" w:rsidP="00D42391">
      <w:pPr>
        <w:spacing w:after="0" w:line="240" w:lineRule="auto"/>
      </w:pPr>
      <w:r>
        <w:separator/>
      </w:r>
    </w:p>
  </w:endnote>
  <w:endnote w:type="continuationSeparator" w:id="0">
    <w:p w:rsidR="00D42391" w:rsidRDefault="00D42391" w:rsidP="00D42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2391" w:rsidRDefault="00D42391" w:rsidP="00D42391">
      <w:pPr>
        <w:spacing w:after="0" w:line="240" w:lineRule="auto"/>
      </w:pPr>
      <w:r>
        <w:separator/>
      </w:r>
    </w:p>
  </w:footnote>
  <w:footnote w:type="continuationSeparator" w:id="0">
    <w:p w:rsidR="00D42391" w:rsidRDefault="00D42391" w:rsidP="00D42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D42391">
      <w:trPr>
        <w:trHeight w:val="288"/>
      </w:trPr>
      <w:sdt>
        <w:sdtPr>
          <w:rPr>
            <w:rFonts w:asciiTheme="majorHAnsi" w:eastAsiaTheme="majorEastAsia" w:hAnsiTheme="majorHAnsi" w:cstheme="majorBidi"/>
            <w:sz w:val="36"/>
            <w:szCs w:val="36"/>
          </w:rPr>
          <w:alias w:val="Title"/>
          <w:id w:val="77761602"/>
          <w:placeholder>
            <w:docPart w:val="C1609FE1184C41FAB23CAE7EBC9DEAA3"/>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D42391" w:rsidRDefault="00D42391" w:rsidP="001A7702">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Learning –Contemporary Study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9E6159FD217047EA8AFE979B1454871E"/>
          </w:placeholder>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Content>
          <w:tc>
            <w:tcPr>
              <w:tcW w:w="1105" w:type="dxa"/>
            </w:tcPr>
            <w:p w:rsidR="00D42391" w:rsidRDefault="00D42391" w:rsidP="00D42391">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2018</w:t>
              </w:r>
            </w:p>
          </w:tc>
        </w:sdtContent>
      </w:sdt>
    </w:tr>
  </w:tbl>
  <w:p w:rsidR="00D42391" w:rsidRDefault="00D423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1B44"/>
    <w:multiLevelType w:val="multilevel"/>
    <w:tmpl w:val="61DCD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58635AC"/>
    <w:multiLevelType w:val="multilevel"/>
    <w:tmpl w:val="89F26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391"/>
    <w:rsid w:val="0003387E"/>
    <w:rsid w:val="001A7702"/>
    <w:rsid w:val="00CC5D74"/>
    <w:rsid w:val="00D423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23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2391"/>
  </w:style>
  <w:style w:type="paragraph" w:styleId="Footer">
    <w:name w:val="footer"/>
    <w:basedOn w:val="Normal"/>
    <w:link w:val="FooterChar"/>
    <w:uiPriority w:val="99"/>
    <w:unhideWhenUsed/>
    <w:rsid w:val="00D423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2391"/>
  </w:style>
  <w:style w:type="paragraph" w:styleId="BalloonText">
    <w:name w:val="Balloon Text"/>
    <w:basedOn w:val="Normal"/>
    <w:link w:val="BalloonTextChar"/>
    <w:uiPriority w:val="99"/>
    <w:semiHidden/>
    <w:unhideWhenUsed/>
    <w:rsid w:val="00D423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2391"/>
    <w:rPr>
      <w:rFonts w:ascii="Tahoma" w:hAnsi="Tahoma" w:cs="Tahoma"/>
      <w:sz w:val="16"/>
      <w:szCs w:val="16"/>
    </w:rPr>
  </w:style>
  <w:style w:type="table" w:styleId="TableGrid">
    <w:name w:val="Table Grid"/>
    <w:basedOn w:val="TableNormal"/>
    <w:uiPriority w:val="59"/>
    <w:rsid w:val="00D423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23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2391"/>
  </w:style>
  <w:style w:type="paragraph" w:styleId="Footer">
    <w:name w:val="footer"/>
    <w:basedOn w:val="Normal"/>
    <w:link w:val="FooterChar"/>
    <w:uiPriority w:val="99"/>
    <w:unhideWhenUsed/>
    <w:rsid w:val="00D423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2391"/>
  </w:style>
  <w:style w:type="paragraph" w:styleId="BalloonText">
    <w:name w:val="Balloon Text"/>
    <w:basedOn w:val="Normal"/>
    <w:link w:val="BalloonTextChar"/>
    <w:uiPriority w:val="99"/>
    <w:semiHidden/>
    <w:unhideWhenUsed/>
    <w:rsid w:val="00D423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2391"/>
    <w:rPr>
      <w:rFonts w:ascii="Tahoma" w:hAnsi="Tahoma" w:cs="Tahoma"/>
      <w:sz w:val="16"/>
      <w:szCs w:val="16"/>
    </w:rPr>
  </w:style>
  <w:style w:type="table" w:styleId="TableGrid">
    <w:name w:val="Table Grid"/>
    <w:basedOn w:val="TableNormal"/>
    <w:uiPriority w:val="59"/>
    <w:rsid w:val="00D423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302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1609FE1184C41FAB23CAE7EBC9DEAA3"/>
        <w:category>
          <w:name w:val="General"/>
          <w:gallery w:val="placeholder"/>
        </w:category>
        <w:types>
          <w:type w:val="bbPlcHdr"/>
        </w:types>
        <w:behaviors>
          <w:behavior w:val="content"/>
        </w:behaviors>
        <w:guid w:val="{B3214A36-8209-427D-BB48-EF20336B56F8}"/>
      </w:docPartPr>
      <w:docPartBody>
        <w:p w:rsidR="00000000" w:rsidRDefault="00080421" w:rsidP="00080421">
          <w:pPr>
            <w:pStyle w:val="C1609FE1184C41FAB23CAE7EBC9DEAA3"/>
          </w:pPr>
          <w:r>
            <w:rPr>
              <w:rFonts w:asciiTheme="majorHAnsi" w:eastAsiaTheme="majorEastAsia" w:hAnsiTheme="majorHAnsi" w:cstheme="majorBidi"/>
              <w:sz w:val="36"/>
              <w:szCs w:val="36"/>
            </w:rPr>
            <w:t>[Type the document title]</w:t>
          </w:r>
        </w:p>
      </w:docPartBody>
    </w:docPart>
    <w:docPart>
      <w:docPartPr>
        <w:name w:val="9E6159FD217047EA8AFE979B1454871E"/>
        <w:category>
          <w:name w:val="General"/>
          <w:gallery w:val="placeholder"/>
        </w:category>
        <w:types>
          <w:type w:val="bbPlcHdr"/>
        </w:types>
        <w:behaviors>
          <w:behavior w:val="content"/>
        </w:behaviors>
        <w:guid w:val="{FD9B422C-C8D0-4451-A544-648C6DF5490B}"/>
      </w:docPartPr>
      <w:docPartBody>
        <w:p w:rsidR="00000000" w:rsidRDefault="00080421" w:rsidP="00080421">
          <w:pPr>
            <w:pStyle w:val="9E6159FD217047EA8AFE979B1454871E"/>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421"/>
    <w:rsid w:val="000804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609FE1184C41FAB23CAE7EBC9DEAA3">
    <w:name w:val="C1609FE1184C41FAB23CAE7EBC9DEAA3"/>
    <w:rsid w:val="00080421"/>
  </w:style>
  <w:style w:type="paragraph" w:customStyle="1" w:styleId="9E6159FD217047EA8AFE979B1454871E">
    <w:name w:val="9E6159FD217047EA8AFE979B1454871E"/>
    <w:rsid w:val="0008042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609FE1184C41FAB23CAE7EBC9DEAA3">
    <w:name w:val="C1609FE1184C41FAB23CAE7EBC9DEAA3"/>
    <w:rsid w:val="00080421"/>
  </w:style>
  <w:style w:type="paragraph" w:customStyle="1" w:styleId="9E6159FD217047EA8AFE979B1454871E">
    <w:name w:val="9E6159FD217047EA8AFE979B1454871E"/>
    <w:rsid w:val="0008042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201</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Learning –Contemporary Study (AJW)</dc:title>
  <dc:creator>Amanda Wood (AJW)</dc:creator>
  <cp:lastModifiedBy>Amanda Wood (AJW)</cp:lastModifiedBy>
  <cp:revision>1</cp:revision>
  <dcterms:created xsi:type="dcterms:W3CDTF">2018-11-06T00:36:00Z</dcterms:created>
  <dcterms:modified xsi:type="dcterms:W3CDTF">2018-11-06T00:54:00Z</dcterms:modified>
</cp:coreProperties>
</file>