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0FF" w:rsidRPr="00CA00FF" w:rsidRDefault="00CA00FF">
      <w:pPr>
        <w:rPr>
          <w:rFonts w:ascii="Lucida Handwriting" w:hAnsi="Lucida Handwriting"/>
          <w:sz w:val="36"/>
          <w:szCs w:val="36"/>
        </w:rPr>
      </w:pPr>
      <w:r>
        <w:rPr>
          <w:rFonts w:ascii="Lucida Handwriting" w:hAnsi="Lucida Handwriting"/>
          <w:sz w:val="36"/>
          <w:szCs w:val="36"/>
        </w:rPr>
        <w:t xml:space="preserve">Research Methods: </w:t>
      </w:r>
      <w:r w:rsidRPr="00CA00FF">
        <w:rPr>
          <w:rFonts w:ascii="Bradley Hand ITC" w:hAnsi="Bradley Hand ITC" w:cs="Arial"/>
          <w:b/>
          <w:sz w:val="48"/>
          <w:szCs w:val="48"/>
          <w:highlight w:val="yellow"/>
        </w:rPr>
        <w:t>Observation</w:t>
      </w:r>
    </w:p>
    <w:tbl>
      <w:tblPr>
        <w:tblStyle w:val="TableGrid"/>
        <w:tblW w:w="9464" w:type="dxa"/>
        <w:tblLook w:val="04A0" w:firstRow="1" w:lastRow="0" w:firstColumn="1" w:lastColumn="0" w:noHBand="0" w:noVBand="1"/>
      </w:tblPr>
      <w:tblGrid>
        <w:gridCol w:w="2660"/>
        <w:gridCol w:w="3756"/>
        <w:gridCol w:w="71"/>
        <w:gridCol w:w="2977"/>
      </w:tblGrid>
      <w:tr w:rsidR="00CA00FF" w:rsidTr="00116EA9">
        <w:tc>
          <w:tcPr>
            <w:tcW w:w="2660" w:type="dxa"/>
            <w:tcBorders>
              <w:bottom w:val="single" w:sz="4" w:space="0" w:color="auto"/>
            </w:tcBorders>
            <w:shd w:val="clear" w:color="auto" w:fill="92CDDC" w:themeFill="accent5" w:themeFillTint="99"/>
          </w:tcPr>
          <w:p w:rsidR="00CA00FF" w:rsidRPr="00FA128A" w:rsidRDefault="00CA00FF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AO1: Point</w:t>
            </w:r>
          </w:p>
        </w:tc>
        <w:tc>
          <w:tcPr>
            <w:tcW w:w="6804" w:type="dxa"/>
            <w:gridSpan w:val="3"/>
            <w:tcBorders>
              <w:bottom w:val="single" w:sz="4" w:space="0" w:color="auto"/>
            </w:tcBorders>
            <w:shd w:val="clear" w:color="auto" w:fill="92CDDC" w:themeFill="accent5" w:themeFillTint="99"/>
          </w:tcPr>
          <w:p w:rsidR="00CA00FF" w:rsidRPr="00FA128A" w:rsidRDefault="00CA00FF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Explain</w:t>
            </w:r>
          </w:p>
        </w:tc>
      </w:tr>
      <w:tr w:rsidR="00FA128A" w:rsidTr="00116EA9">
        <w:tc>
          <w:tcPr>
            <w:tcW w:w="2660" w:type="dxa"/>
            <w:tcBorders>
              <w:bottom w:val="single" w:sz="4" w:space="0" w:color="auto"/>
            </w:tcBorders>
            <w:shd w:val="clear" w:color="auto" w:fill="92CDDC" w:themeFill="accent5" w:themeFillTint="99"/>
          </w:tcPr>
          <w:p w:rsidR="00FA128A" w:rsidRPr="00FA128A" w:rsidRDefault="00116EA9" w:rsidP="00116EA9">
            <w:pPr>
              <w:rPr>
                <w:rFonts w:ascii="Bradley Hand ITC" w:hAnsi="Bradley Hand ITC"/>
                <w:b/>
                <w:sz w:val="24"/>
                <w:szCs w:val="24"/>
              </w:rPr>
            </w:pPr>
            <w:r>
              <w:rPr>
                <w:rFonts w:ascii="Bradley Hand ITC" w:hAnsi="Bradley Hand ITC"/>
                <w:sz w:val="24"/>
                <w:szCs w:val="24"/>
              </w:rPr>
              <w:t>Observers might collect q</w:t>
            </w:r>
            <w:r w:rsidR="00FA128A" w:rsidRPr="00FA128A">
              <w:rPr>
                <w:rFonts w:ascii="Bradley Hand ITC" w:hAnsi="Bradley Hand ITC"/>
                <w:sz w:val="24"/>
                <w:szCs w:val="24"/>
              </w:rPr>
              <w:t xml:space="preserve">uantitative data </w:t>
            </w:r>
            <w:r>
              <w:rPr>
                <w:rFonts w:ascii="Bradley Hand ITC" w:hAnsi="Bradley Hand ITC"/>
                <w:sz w:val="24"/>
                <w:szCs w:val="24"/>
              </w:rPr>
              <w:t>using an observation schedule</w:t>
            </w:r>
          </w:p>
        </w:tc>
        <w:tc>
          <w:tcPr>
            <w:tcW w:w="6804" w:type="dxa"/>
            <w:gridSpan w:val="3"/>
            <w:tcBorders>
              <w:bottom w:val="single" w:sz="4" w:space="0" w:color="auto"/>
            </w:tcBorders>
            <w:shd w:val="clear" w:color="auto" w:fill="92CDDC" w:themeFill="accent5" w:themeFillTint="99"/>
          </w:tcPr>
          <w:p w:rsidR="00FA128A" w:rsidRPr="00FA128A" w:rsidRDefault="00FA128A" w:rsidP="00760965">
            <w:pPr>
              <w:rPr>
                <w:rFonts w:ascii="Bradley Hand ITC" w:hAnsi="Bradley Hand ITC"/>
                <w:sz w:val="24"/>
                <w:szCs w:val="24"/>
              </w:rPr>
            </w:pPr>
            <w:proofErr w:type="spellStart"/>
            <w:r w:rsidRPr="00FA128A">
              <w:rPr>
                <w:rFonts w:ascii="Bradley Hand ITC" w:hAnsi="Bradley Hand ITC"/>
                <w:sz w:val="24"/>
                <w:szCs w:val="24"/>
              </w:rPr>
              <w:t>Quan</w:t>
            </w:r>
            <w:proofErr w:type="spellEnd"/>
            <w:r w:rsidRPr="00FA128A">
              <w:rPr>
                <w:rFonts w:ascii="Bradley Hand ITC" w:hAnsi="Bradley Hand ITC"/>
                <w:sz w:val="24"/>
                <w:szCs w:val="24"/>
              </w:rPr>
              <w:t>: o</w:t>
            </w:r>
            <w:r w:rsidRPr="00FA128A">
              <w:rPr>
                <w:rFonts w:ascii="Bradley Hand ITC" w:hAnsi="Bradley Hand ITC"/>
                <w:sz w:val="24"/>
                <w:szCs w:val="24"/>
              </w:rPr>
              <w:t>bservation schedule</w:t>
            </w:r>
            <w:r w:rsidRPr="00FA128A">
              <w:rPr>
                <w:rFonts w:ascii="Bradley Hand ITC" w:hAnsi="Bradley Hand ITC"/>
                <w:sz w:val="24"/>
                <w:szCs w:val="24"/>
              </w:rPr>
              <w:t xml:space="preserve"> to </w:t>
            </w:r>
            <w:r w:rsidRPr="00FA128A">
              <w:rPr>
                <w:rFonts w:ascii="Bradley Hand ITC" w:hAnsi="Bradley Hand ITC"/>
                <w:sz w:val="24"/>
                <w:szCs w:val="24"/>
              </w:rPr>
              <w:t>operationalise</w:t>
            </w:r>
            <w:r w:rsidRPr="00FA128A">
              <w:rPr>
                <w:rFonts w:ascii="Bradley Hand ITC" w:hAnsi="Bradley Hand ITC"/>
                <w:sz w:val="24"/>
                <w:szCs w:val="24"/>
              </w:rPr>
              <w:t xml:space="preserve">s the </w:t>
            </w:r>
            <w:r w:rsidRPr="00FA128A">
              <w:rPr>
                <w:rFonts w:ascii="Bradley Hand ITC" w:hAnsi="Bradley Hand ITC"/>
                <w:sz w:val="24"/>
                <w:szCs w:val="24"/>
              </w:rPr>
              <w:t xml:space="preserve"> behaviours that you wish to record/tally (using either event or time</w:t>
            </w:r>
            <w:r w:rsidRPr="00FA128A">
              <w:rPr>
                <w:rFonts w:ascii="Bradley Hand ITC" w:hAnsi="Bradley Hand ITC"/>
                <w:sz w:val="24"/>
                <w:szCs w:val="24"/>
              </w:rPr>
              <w:t xml:space="preserve"> sampling); called a priori coding</w:t>
            </w:r>
          </w:p>
        </w:tc>
      </w:tr>
      <w:tr w:rsidR="00FA128A" w:rsidTr="001E1256">
        <w:tc>
          <w:tcPr>
            <w:tcW w:w="2660" w:type="dxa"/>
            <w:tcBorders>
              <w:bottom w:val="single" w:sz="4" w:space="0" w:color="auto"/>
            </w:tcBorders>
            <w:shd w:val="clear" w:color="auto" w:fill="C2D69B" w:themeFill="accent3" w:themeFillTint="99"/>
          </w:tcPr>
          <w:p w:rsidR="00FA128A" w:rsidRPr="00FA128A" w:rsidRDefault="00FA128A" w:rsidP="00760965">
            <w:pPr>
              <w:rPr>
                <w:rFonts w:ascii="Bradley Hand ITC" w:hAnsi="Bradley Hand ITC"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AO3: Point</w:t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C2D69B" w:themeFill="accent3" w:themeFillTint="99"/>
          </w:tcPr>
          <w:p w:rsidR="00FA128A" w:rsidRPr="00FA128A" w:rsidRDefault="00FA128A" w:rsidP="00FA128A">
            <w:pPr>
              <w:rPr>
                <w:rFonts w:ascii="Bradley Hand ITC" w:hAnsi="Bradley Hand ITC"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C2D69B" w:themeFill="accent3" w:themeFillTint="99"/>
          </w:tcPr>
          <w:p w:rsidR="00116EA9" w:rsidRPr="00116EA9" w:rsidRDefault="00FA128A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 xml:space="preserve">L: </w:t>
            </w: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This is important because...</w:t>
            </w:r>
          </w:p>
        </w:tc>
      </w:tr>
      <w:tr w:rsidR="00FA128A" w:rsidTr="001E1256">
        <w:tc>
          <w:tcPr>
            <w:tcW w:w="2660" w:type="dxa"/>
            <w:tcBorders>
              <w:bottom w:val="single" w:sz="4" w:space="0" w:color="auto"/>
            </w:tcBorders>
            <w:shd w:val="clear" w:color="auto" w:fill="C2D69B" w:themeFill="accent3" w:themeFillTint="99"/>
          </w:tcPr>
          <w:p w:rsidR="00FA128A" w:rsidRPr="00ED1290" w:rsidRDefault="00FA128A" w:rsidP="00116EA9">
            <w:pPr>
              <w:rPr>
                <w:rFonts w:ascii="Palatino Linotype" w:hAnsi="Palatino Linotype"/>
              </w:rPr>
            </w:pPr>
            <w:r w:rsidRPr="0087313E">
              <w:rPr>
                <w:rFonts w:ascii="Palatino Linotype" w:hAnsi="Palatino Linotype"/>
                <w:b/>
              </w:rPr>
              <w:t xml:space="preserve">Strength: </w:t>
            </w:r>
            <w:r w:rsidR="00116EA9" w:rsidRPr="00116EA9">
              <w:rPr>
                <w:rFonts w:ascii="Bradley Hand ITC" w:hAnsi="Bradley Hand ITC"/>
              </w:rPr>
              <w:t>Objective way of recording data</w:t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C2D69B" w:themeFill="accent3" w:themeFillTint="99"/>
          </w:tcPr>
          <w:p w:rsidR="00FA128A" w:rsidRPr="00FA128A" w:rsidRDefault="00116EA9" w:rsidP="00760965">
            <w:pPr>
              <w:rPr>
                <w:rFonts w:ascii="Bradley Hand ITC" w:hAnsi="Bradley Hand ITC"/>
                <w:sz w:val="24"/>
                <w:szCs w:val="24"/>
              </w:rPr>
            </w:pPr>
            <w:r>
              <w:rPr>
                <w:rFonts w:ascii="Bradley Hand ITC" w:hAnsi="Bradley Hand ITC"/>
                <w:sz w:val="24"/>
                <w:szCs w:val="24"/>
              </w:rPr>
              <w:t>Two observers can use the observation schedule to review the same video recording and check to see whether there is a correlation between the number of acts recorded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C2D69B" w:themeFill="accent3" w:themeFillTint="99"/>
          </w:tcPr>
          <w:p w:rsidR="00FA128A" w:rsidRPr="00FA128A" w:rsidRDefault="00116EA9" w:rsidP="00760965">
            <w:pPr>
              <w:rPr>
                <w:rFonts w:ascii="Bradley Hand ITC" w:hAnsi="Bradley Hand ITC"/>
                <w:sz w:val="24"/>
                <w:szCs w:val="24"/>
              </w:rPr>
            </w:pPr>
            <w:r>
              <w:rPr>
                <w:rFonts w:ascii="Bradley Hand ITC" w:hAnsi="Bradley Hand ITC"/>
                <w:sz w:val="24"/>
                <w:szCs w:val="24"/>
              </w:rPr>
              <w:t>Makes the data more reliable</w:t>
            </w:r>
          </w:p>
        </w:tc>
      </w:tr>
      <w:tr w:rsidR="00116EA9" w:rsidTr="00320A26">
        <w:tc>
          <w:tcPr>
            <w:tcW w:w="9464" w:type="dxa"/>
            <w:gridSpan w:val="4"/>
            <w:tcBorders>
              <w:bottom w:val="single" w:sz="4" w:space="0" w:color="auto"/>
            </w:tcBorders>
            <w:shd w:val="clear" w:color="auto" w:fill="D99594" w:themeFill="accent2" w:themeFillTint="99"/>
          </w:tcPr>
          <w:p w:rsidR="00116EA9" w:rsidRDefault="00116EA9" w:rsidP="00FA128A">
            <w:pPr>
              <w:rPr>
                <w:rFonts w:ascii="Palatino Linotype" w:hAnsi="Palatino Linotype"/>
                <w:b/>
              </w:rPr>
            </w:pPr>
            <w:r>
              <w:rPr>
                <w:rFonts w:ascii="Palatino Linotype" w:hAnsi="Palatino Linotype"/>
                <w:b/>
              </w:rPr>
              <w:t>Competing argument</w:t>
            </w:r>
          </w:p>
          <w:p w:rsidR="00116EA9" w:rsidRPr="00116EA9" w:rsidRDefault="00116EA9" w:rsidP="00116EA9">
            <w:pPr>
              <w:rPr>
                <w:rFonts w:ascii="Bradley Hand ITC" w:hAnsi="Bradley Hand ITC"/>
              </w:rPr>
            </w:pPr>
            <w:r w:rsidRPr="00116EA9">
              <w:rPr>
                <w:rFonts w:ascii="Bradley Hand ITC" w:hAnsi="Bradley Hand ITC"/>
              </w:rPr>
              <w:t>Can be seen as reductionist</w:t>
            </w:r>
          </w:p>
          <w:p w:rsidR="00116EA9" w:rsidRPr="00FA128A" w:rsidRDefault="00116EA9" w:rsidP="00760965">
            <w:pPr>
              <w:rPr>
                <w:rFonts w:ascii="Bradley Hand ITC" w:hAnsi="Bradley Hand ITC"/>
                <w:sz w:val="24"/>
                <w:szCs w:val="24"/>
              </w:rPr>
            </w:pPr>
            <w:r>
              <w:rPr>
                <w:rFonts w:ascii="Bradley Hand ITC" w:hAnsi="Bradley Hand ITC"/>
                <w:sz w:val="24"/>
                <w:szCs w:val="24"/>
              </w:rPr>
              <w:t>Behaviours become nothing more than a tally in a box which is counted up with no regard for the context in which the behaviour happened</w:t>
            </w:r>
          </w:p>
          <w:p w:rsidR="00116EA9" w:rsidRPr="00FA128A" w:rsidRDefault="00116EA9" w:rsidP="00760965">
            <w:pPr>
              <w:rPr>
                <w:rFonts w:ascii="Bradley Hand ITC" w:hAnsi="Bradley Hand ITC"/>
                <w:sz w:val="24"/>
                <w:szCs w:val="24"/>
              </w:rPr>
            </w:pPr>
            <w:r>
              <w:rPr>
                <w:rFonts w:ascii="Bradley Hand ITC" w:hAnsi="Bradley Hand ITC"/>
                <w:sz w:val="24"/>
                <w:szCs w:val="24"/>
              </w:rPr>
              <w:t>We don’t understand why behaviours arise only what, where when and by whom.</w:t>
            </w:r>
          </w:p>
        </w:tc>
      </w:tr>
      <w:tr w:rsidR="00FA128A" w:rsidTr="00116EA9">
        <w:tc>
          <w:tcPr>
            <w:tcW w:w="9464" w:type="dxa"/>
            <w:gridSpan w:val="4"/>
            <w:tcBorders>
              <w:bottom w:val="single" w:sz="4" w:space="0" w:color="auto"/>
            </w:tcBorders>
            <w:shd w:val="clear" w:color="auto" w:fill="92CDDC" w:themeFill="accent5" w:themeFillTint="99"/>
          </w:tcPr>
          <w:p w:rsidR="00FA128A" w:rsidRPr="00ED1290" w:rsidRDefault="00FA128A" w:rsidP="00FA128A">
            <w:pPr>
              <w:rPr>
                <w:rFonts w:ascii="Bradley Hand ITC" w:hAnsi="Bradley Hand ITC"/>
                <w:b/>
                <w:sz w:val="24"/>
                <w:szCs w:val="24"/>
              </w:rPr>
            </w:pPr>
            <w:r w:rsidRPr="00FA128A">
              <w:rPr>
                <w:rFonts w:ascii="Bradley Hand ITC" w:hAnsi="Bradley Hand ITC"/>
                <w:b/>
                <w:sz w:val="24"/>
                <w:szCs w:val="24"/>
              </w:rPr>
              <w:t>This said,</w:t>
            </w:r>
            <w:r w:rsidRPr="00FA128A">
              <w:rPr>
                <w:rFonts w:ascii="Bradley Hand ITC" w:hAnsi="Bradley Hand ITC"/>
                <w:sz w:val="24"/>
                <w:szCs w:val="24"/>
              </w:rPr>
              <w:t xml:space="preserve"> researchers may supplement </w:t>
            </w:r>
            <w:r>
              <w:rPr>
                <w:rFonts w:ascii="Bradley Hand ITC" w:hAnsi="Bradley Hand ITC"/>
                <w:sz w:val="24"/>
                <w:szCs w:val="24"/>
              </w:rPr>
              <w:t>their quant</w:t>
            </w:r>
            <w:r w:rsidRPr="00FA128A">
              <w:rPr>
                <w:rFonts w:ascii="Bradley Hand ITC" w:hAnsi="Bradley Hand ITC"/>
                <w:sz w:val="24"/>
                <w:szCs w:val="24"/>
              </w:rPr>
              <w:t>it</w:t>
            </w:r>
            <w:r>
              <w:rPr>
                <w:rFonts w:ascii="Bradley Hand ITC" w:hAnsi="Bradley Hand ITC"/>
                <w:sz w:val="24"/>
                <w:szCs w:val="24"/>
              </w:rPr>
              <w:t>at</w:t>
            </w:r>
            <w:r w:rsidRPr="00FA128A">
              <w:rPr>
                <w:rFonts w:ascii="Bradley Hand ITC" w:hAnsi="Bradley Hand ITC"/>
                <w:sz w:val="24"/>
                <w:szCs w:val="24"/>
              </w:rPr>
              <w:t xml:space="preserve">ive observational data with </w:t>
            </w:r>
            <w:r>
              <w:rPr>
                <w:rFonts w:ascii="Bradley Hand ITC" w:hAnsi="Bradley Hand ITC"/>
                <w:sz w:val="24"/>
                <w:szCs w:val="24"/>
              </w:rPr>
              <w:t>q</w:t>
            </w:r>
            <w:r w:rsidRPr="00FA128A">
              <w:rPr>
                <w:rFonts w:ascii="Bradley Hand ITC" w:hAnsi="Bradley Hand ITC"/>
                <w:sz w:val="24"/>
                <w:szCs w:val="24"/>
              </w:rPr>
              <w:t>ual</w:t>
            </w:r>
            <w:r>
              <w:rPr>
                <w:rFonts w:ascii="Bradley Hand ITC" w:hAnsi="Bradley Hand ITC"/>
                <w:sz w:val="24"/>
                <w:szCs w:val="24"/>
              </w:rPr>
              <w:t>itative data either in the form of</w:t>
            </w:r>
            <w:r w:rsidRPr="00FA128A">
              <w:rPr>
                <w:rFonts w:ascii="Bradley Hand ITC" w:hAnsi="Bradley Hand ITC"/>
                <w:sz w:val="24"/>
                <w:szCs w:val="24"/>
              </w:rPr>
              <w:t xml:space="preserve"> written field notes or </w:t>
            </w:r>
            <w:r>
              <w:rPr>
                <w:rFonts w:ascii="Bradley Hand ITC" w:hAnsi="Bradley Hand ITC"/>
                <w:sz w:val="24"/>
                <w:szCs w:val="24"/>
              </w:rPr>
              <w:t xml:space="preserve">they might </w:t>
            </w:r>
            <w:r w:rsidRPr="00FA128A">
              <w:rPr>
                <w:rFonts w:ascii="Bradley Hand ITC" w:hAnsi="Bradley Hand ITC"/>
                <w:sz w:val="24"/>
                <w:szCs w:val="24"/>
              </w:rPr>
              <w:t>make a running commentary (using a</w:t>
            </w:r>
            <w:r w:rsidR="00ED1290">
              <w:rPr>
                <w:rFonts w:ascii="Bradley Hand ITC" w:hAnsi="Bradley Hand ITC"/>
                <w:sz w:val="24"/>
                <w:szCs w:val="24"/>
              </w:rPr>
              <w:t>n</w:t>
            </w:r>
            <w:r w:rsidRPr="00FA128A">
              <w:rPr>
                <w:rFonts w:ascii="Bradley Hand ITC" w:hAnsi="Bradley Hand ITC"/>
                <w:sz w:val="24"/>
                <w:szCs w:val="24"/>
              </w:rPr>
              <w:t xml:space="preserve"> audio recording app)</w:t>
            </w:r>
            <w:r>
              <w:rPr>
                <w:rFonts w:ascii="Bradley Hand ITC" w:hAnsi="Bradley Hand ITC"/>
                <w:sz w:val="24"/>
                <w:szCs w:val="24"/>
              </w:rPr>
              <w:t xml:space="preserve"> which can later be analysed using thematic or content analysis for example.</w:t>
            </w:r>
          </w:p>
        </w:tc>
      </w:tr>
      <w:tr w:rsidR="00FA128A" w:rsidTr="001E1256">
        <w:tc>
          <w:tcPr>
            <w:tcW w:w="2660" w:type="dxa"/>
            <w:shd w:val="clear" w:color="auto" w:fill="92CDDC" w:themeFill="accent5" w:themeFillTint="99"/>
          </w:tcPr>
          <w:p w:rsidR="00FA128A" w:rsidRDefault="00FA128A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AO1: Point</w:t>
            </w:r>
          </w:p>
          <w:p w:rsidR="00116EA9" w:rsidRPr="00FA128A" w:rsidRDefault="00116EA9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A128A">
              <w:rPr>
                <w:rFonts w:ascii="Bradley Hand ITC" w:hAnsi="Bradley Hand ITC"/>
                <w:sz w:val="24"/>
                <w:szCs w:val="24"/>
              </w:rPr>
              <w:t>Non-participant</w:t>
            </w:r>
          </w:p>
        </w:tc>
        <w:tc>
          <w:tcPr>
            <w:tcW w:w="6804" w:type="dxa"/>
            <w:gridSpan w:val="3"/>
            <w:shd w:val="clear" w:color="auto" w:fill="92CDDC" w:themeFill="accent5" w:themeFillTint="99"/>
          </w:tcPr>
          <w:p w:rsidR="00FA128A" w:rsidRPr="00FA128A" w:rsidRDefault="00FA128A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Explain</w:t>
            </w:r>
          </w:p>
        </w:tc>
      </w:tr>
      <w:tr w:rsidR="00FA128A" w:rsidTr="001E1256">
        <w:tc>
          <w:tcPr>
            <w:tcW w:w="2660" w:type="dxa"/>
            <w:tcBorders>
              <w:bottom w:val="single" w:sz="4" w:space="0" w:color="auto"/>
            </w:tcBorders>
            <w:shd w:val="clear" w:color="auto" w:fill="C2D69B" w:themeFill="accent3" w:themeFillTint="99"/>
          </w:tcPr>
          <w:p w:rsidR="00FA128A" w:rsidRDefault="00FA128A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AO3: Point</w:t>
            </w:r>
          </w:p>
          <w:p w:rsidR="00116EA9" w:rsidRPr="00116EA9" w:rsidRDefault="00116EA9" w:rsidP="00760965">
            <w:pPr>
              <w:rPr>
                <w:rFonts w:ascii="Palatino Linotype" w:hAnsi="Palatino Linotype"/>
                <w:b/>
              </w:rPr>
            </w:pPr>
            <w:r w:rsidRPr="0087313E">
              <w:rPr>
                <w:rFonts w:ascii="Palatino Linotype" w:hAnsi="Palatino Linotype"/>
                <w:b/>
              </w:rPr>
              <w:t xml:space="preserve">Strength: </w:t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C2D69B" w:themeFill="accent3" w:themeFillTint="99"/>
          </w:tcPr>
          <w:p w:rsidR="00FA128A" w:rsidRPr="00FA128A" w:rsidRDefault="00FA128A" w:rsidP="00760965">
            <w:pPr>
              <w:rPr>
                <w:rFonts w:ascii="Bradley Hand ITC" w:hAnsi="Bradley Hand ITC"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C2D69B" w:themeFill="accent3" w:themeFillTint="99"/>
          </w:tcPr>
          <w:p w:rsidR="00FA128A" w:rsidRPr="00FA128A" w:rsidRDefault="00FA128A" w:rsidP="00760965">
            <w:pPr>
              <w:rPr>
                <w:rFonts w:ascii="Bradley Hand ITC" w:hAnsi="Bradley Hand ITC"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L: This is important because...</w:t>
            </w:r>
          </w:p>
        </w:tc>
      </w:tr>
      <w:tr w:rsidR="00116EA9" w:rsidTr="004A75C8">
        <w:tc>
          <w:tcPr>
            <w:tcW w:w="9464" w:type="dxa"/>
            <w:gridSpan w:val="4"/>
            <w:tcBorders>
              <w:bottom w:val="single" w:sz="4" w:space="0" w:color="auto"/>
            </w:tcBorders>
            <w:shd w:val="clear" w:color="auto" w:fill="D99594" w:themeFill="accent2" w:themeFillTint="99"/>
          </w:tcPr>
          <w:p w:rsidR="00116EA9" w:rsidRDefault="00116EA9" w:rsidP="003E3179">
            <w:pPr>
              <w:rPr>
                <w:rFonts w:ascii="Palatino Linotype" w:hAnsi="Palatino Linotype"/>
                <w:b/>
              </w:rPr>
            </w:pPr>
            <w:r>
              <w:rPr>
                <w:rFonts w:ascii="Palatino Linotype" w:hAnsi="Palatino Linotype"/>
                <w:b/>
              </w:rPr>
              <w:t>Competing argument</w:t>
            </w:r>
          </w:p>
          <w:p w:rsidR="00116EA9" w:rsidRPr="00ED1290" w:rsidRDefault="00116EA9" w:rsidP="00116EA9">
            <w:pPr>
              <w:rPr>
                <w:rFonts w:ascii="Bradley Hand ITC" w:hAnsi="Bradley Hand ITC"/>
                <w:sz w:val="24"/>
                <w:szCs w:val="24"/>
              </w:rPr>
            </w:pPr>
            <w:r w:rsidRPr="00FA128A">
              <w:rPr>
                <w:rFonts w:ascii="Bradley Hand ITC" w:hAnsi="Bradley Hand ITC"/>
                <w:b/>
                <w:sz w:val="24"/>
                <w:szCs w:val="24"/>
              </w:rPr>
              <w:t>However…</w:t>
            </w:r>
            <w:r>
              <w:rPr>
                <w:rFonts w:ascii="Bradley Hand ITC" w:hAnsi="Bradley Hand ITC"/>
                <w:b/>
                <w:sz w:val="24"/>
                <w:szCs w:val="24"/>
              </w:rPr>
              <w:t xml:space="preserve"> </w:t>
            </w:r>
            <w:r w:rsidRPr="003E3179">
              <w:rPr>
                <w:rFonts w:ascii="Bradley Hand ITC" w:hAnsi="Bradley Hand ITC"/>
                <w:sz w:val="24"/>
                <w:szCs w:val="24"/>
              </w:rPr>
              <w:t>non-participant observations arguably…</w:t>
            </w:r>
          </w:p>
          <w:p w:rsidR="00116EA9" w:rsidRPr="00FA128A" w:rsidRDefault="00116EA9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A128A">
              <w:rPr>
                <w:rFonts w:ascii="Bradley Hand ITC" w:hAnsi="Bradley Hand ITC"/>
                <w:b/>
                <w:sz w:val="24"/>
                <w:szCs w:val="24"/>
              </w:rPr>
              <w:t>This said</w:t>
            </w:r>
            <w:proofErr w:type="gramStart"/>
            <w:r w:rsidRPr="00FA128A">
              <w:rPr>
                <w:rFonts w:ascii="Bradley Hand ITC" w:hAnsi="Bradley Hand ITC"/>
                <w:b/>
                <w:sz w:val="24"/>
                <w:szCs w:val="24"/>
              </w:rPr>
              <w:t>,</w:t>
            </w:r>
            <w:proofErr w:type="gramEnd"/>
            <w:r w:rsidRPr="00FA128A">
              <w:rPr>
                <w:rFonts w:ascii="Bradley Hand ITC" w:hAnsi="Bradley Hand ITC"/>
                <w:sz w:val="24"/>
                <w:szCs w:val="24"/>
              </w:rPr>
              <w:t xml:space="preserve"> researchers may </w:t>
            </w:r>
            <w:r>
              <w:rPr>
                <w:rFonts w:ascii="Bradley Hand ITC" w:hAnsi="Bradley Hand ITC"/>
                <w:sz w:val="24"/>
                <w:szCs w:val="24"/>
              </w:rPr>
              <w:t>choose to use a participant observation…</w:t>
            </w:r>
          </w:p>
        </w:tc>
      </w:tr>
      <w:tr w:rsidR="003E3179" w:rsidTr="001E1256">
        <w:tc>
          <w:tcPr>
            <w:tcW w:w="2660" w:type="dxa"/>
            <w:shd w:val="clear" w:color="auto" w:fill="92CDDC" w:themeFill="accent5" w:themeFillTint="99"/>
          </w:tcPr>
          <w:p w:rsidR="003E3179" w:rsidRDefault="003E3179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AO1: Point</w:t>
            </w:r>
          </w:p>
          <w:p w:rsidR="00116EA9" w:rsidRPr="00116EA9" w:rsidRDefault="00116EA9" w:rsidP="00760965">
            <w:pPr>
              <w:rPr>
                <w:rFonts w:ascii="Bradley Hand ITC" w:hAnsi="Bradley Hand ITC"/>
                <w:sz w:val="24"/>
                <w:szCs w:val="24"/>
              </w:rPr>
            </w:pPr>
            <w:r w:rsidRPr="003E3179">
              <w:rPr>
                <w:rFonts w:ascii="Bradley Hand ITC" w:hAnsi="Bradley Hand ITC"/>
                <w:sz w:val="24"/>
                <w:szCs w:val="24"/>
              </w:rPr>
              <w:t xml:space="preserve">Structured </w:t>
            </w:r>
            <w:r>
              <w:rPr>
                <w:rFonts w:ascii="Bradley Hand ITC" w:hAnsi="Bradley Hand ITC"/>
                <w:sz w:val="24"/>
                <w:szCs w:val="24"/>
              </w:rPr>
              <w:t>observation</w:t>
            </w:r>
          </w:p>
        </w:tc>
        <w:tc>
          <w:tcPr>
            <w:tcW w:w="6804" w:type="dxa"/>
            <w:gridSpan w:val="3"/>
            <w:shd w:val="clear" w:color="auto" w:fill="92CDDC" w:themeFill="accent5" w:themeFillTint="99"/>
          </w:tcPr>
          <w:p w:rsidR="003E3179" w:rsidRPr="00FA128A" w:rsidRDefault="003E3179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Explain</w:t>
            </w:r>
          </w:p>
        </w:tc>
      </w:tr>
      <w:tr w:rsidR="003E3179" w:rsidTr="001E1256">
        <w:tc>
          <w:tcPr>
            <w:tcW w:w="2660" w:type="dxa"/>
            <w:shd w:val="clear" w:color="auto" w:fill="C2D69B" w:themeFill="accent3" w:themeFillTint="99"/>
          </w:tcPr>
          <w:p w:rsidR="003E3179" w:rsidRDefault="003E3179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AO3: Point</w:t>
            </w:r>
          </w:p>
          <w:p w:rsidR="00116EA9" w:rsidRPr="00116EA9" w:rsidRDefault="00116EA9" w:rsidP="00760965">
            <w:pPr>
              <w:rPr>
                <w:rFonts w:ascii="Palatino Linotype" w:hAnsi="Palatino Linotype"/>
                <w:b/>
              </w:rPr>
            </w:pPr>
            <w:r w:rsidRPr="0087313E">
              <w:rPr>
                <w:rFonts w:ascii="Palatino Linotype" w:hAnsi="Palatino Linotype"/>
                <w:b/>
              </w:rPr>
              <w:t xml:space="preserve">Strength: </w:t>
            </w:r>
          </w:p>
        </w:tc>
        <w:tc>
          <w:tcPr>
            <w:tcW w:w="3756" w:type="dxa"/>
            <w:shd w:val="clear" w:color="auto" w:fill="C2D69B" w:themeFill="accent3" w:themeFillTint="99"/>
          </w:tcPr>
          <w:p w:rsidR="003E3179" w:rsidRPr="00FA128A" w:rsidRDefault="003E3179" w:rsidP="00760965">
            <w:pPr>
              <w:rPr>
                <w:rFonts w:ascii="Bradley Hand ITC" w:hAnsi="Bradley Hand ITC"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</w:p>
        </w:tc>
        <w:tc>
          <w:tcPr>
            <w:tcW w:w="3048" w:type="dxa"/>
            <w:gridSpan w:val="2"/>
            <w:shd w:val="clear" w:color="auto" w:fill="C2D69B" w:themeFill="accent3" w:themeFillTint="99"/>
          </w:tcPr>
          <w:p w:rsidR="003E3179" w:rsidRPr="00FA128A" w:rsidRDefault="003E3179" w:rsidP="00760965">
            <w:pPr>
              <w:rPr>
                <w:rFonts w:ascii="Bradley Hand ITC" w:hAnsi="Bradley Hand ITC"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L: This is important because...</w:t>
            </w:r>
          </w:p>
        </w:tc>
      </w:tr>
      <w:tr w:rsidR="00116EA9" w:rsidTr="00CF61E1">
        <w:tc>
          <w:tcPr>
            <w:tcW w:w="9464" w:type="dxa"/>
            <w:gridSpan w:val="4"/>
            <w:shd w:val="clear" w:color="auto" w:fill="D99594" w:themeFill="accent2" w:themeFillTint="99"/>
          </w:tcPr>
          <w:p w:rsidR="00116EA9" w:rsidRDefault="00116EA9" w:rsidP="003E3179">
            <w:pPr>
              <w:rPr>
                <w:rFonts w:ascii="Palatino Linotype" w:hAnsi="Palatino Linotype"/>
                <w:b/>
              </w:rPr>
            </w:pPr>
            <w:r>
              <w:rPr>
                <w:rFonts w:ascii="Palatino Linotype" w:hAnsi="Palatino Linotype"/>
                <w:b/>
              </w:rPr>
              <w:t>Competing argument</w:t>
            </w:r>
          </w:p>
          <w:p w:rsidR="00116EA9" w:rsidRPr="00ED1290" w:rsidRDefault="00116EA9" w:rsidP="00116EA9">
            <w:pPr>
              <w:rPr>
                <w:rFonts w:ascii="Bradley Hand ITC" w:hAnsi="Bradley Hand ITC"/>
                <w:sz w:val="24"/>
                <w:szCs w:val="24"/>
              </w:rPr>
            </w:pPr>
            <w:r w:rsidRPr="00FA128A">
              <w:rPr>
                <w:rFonts w:ascii="Bradley Hand ITC" w:hAnsi="Bradley Hand ITC"/>
                <w:b/>
                <w:sz w:val="24"/>
                <w:szCs w:val="24"/>
              </w:rPr>
              <w:t>However…</w:t>
            </w:r>
            <w:r>
              <w:rPr>
                <w:rFonts w:ascii="Bradley Hand ITC" w:hAnsi="Bradley Hand ITC"/>
                <w:b/>
                <w:sz w:val="24"/>
                <w:szCs w:val="24"/>
              </w:rPr>
              <w:t xml:space="preserve"> </w:t>
            </w:r>
            <w:r>
              <w:rPr>
                <w:rFonts w:ascii="Bradley Hand ITC" w:hAnsi="Bradley Hand ITC"/>
                <w:sz w:val="24"/>
                <w:szCs w:val="24"/>
              </w:rPr>
              <w:t xml:space="preserve">structured </w:t>
            </w:r>
            <w:r w:rsidRPr="003E3179">
              <w:rPr>
                <w:rFonts w:ascii="Bradley Hand ITC" w:hAnsi="Bradley Hand ITC"/>
                <w:sz w:val="24"/>
                <w:szCs w:val="24"/>
              </w:rPr>
              <w:t>observations arguably…</w:t>
            </w:r>
          </w:p>
          <w:p w:rsidR="00116EA9" w:rsidRPr="001E1256" w:rsidRDefault="00116EA9" w:rsidP="00760965">
            <w:pPr>
              <w:rPr>
                <w:rFonts w:ascii="Bradley Hand ITC" w:hAnsi="Bradley Hand ITC"/>
                <w:sz w:val="24"/>
                <w:szCs w:val="24"/>
              </w:rPr>
            </w:pPr>
            <w:r w:rsidRPr="00FA128A">
              <w:rPr>
                <w:rFonts w:ascii="Bradley Hand ITC" w:hAnsi="Bradley Hand ITC"/>
                <w:b/>
                <w:sz w:val="24"/>
                <w:szCs w:val="24"/>
              </w:rPr>
              <w:t>This said</w:t>
            </w:r>
            <w:proofErr w:type="gramStart"/>
            <w:r w:rsidRPr="00FA128A">
              <w:rPr>
                <w:rFonts w:ascii="Bradley Hand ITC" w:hAnsi="Bradley Hand ITC"/>
                <w:b/>
                <w:sz w:val="24"/>
                <w:szCs w:val="24"/>
              </w:rPr>
              <w:t>,</w:t>
            </w:r>
            <w:proofErr w:type="gramEnd"/>
            <w:r w:rsidRPr="00FA128A">
              <w:rPr>
                <w:rFonts w:ascii="Bradley Hand ITC" w:hAnsi="Bradley Hand ITC"/>
                <w:sz w:val="24"/>
                <w:szCs w:val="24"/>
              </w:rPr>
              <w:t xml:space="preserve"> researchers may </w:t>
            </w:r>
            <w:r>
              <w:rPr>
                <w:rFonts w:ascii="Bradley Hand ITC" w:hAnsi="Bradley Hand ITC"/>
                <w:sz w:val="24"/>
                <w:szCs w:val="24"/>
              </w:rPr>
              <w:t xml:space="preserve">choose to use a </w:t>
            </w:r>
            <w:r w:rsidRPr="003E3179">
              <w:rPr>
                <w:rFonts w:ascii="Bradley Hand ITC" w:hAnsi="Bradley Hand ITC"/>
                <w:sz w:val="24"/>
                <w:szCs w:val="24"/>
              </w:rPr>
              <w:t>naturalistic observation</w:t>
            </w:r>
            <w:r>
              <w:rPr>
                <w:rFonts w:ascii="Bradley Hand ITC" w:hAnsi="Bradley Hand ITC"/>
                <w:sz w:val="24"/>
                <w:szCs w:val="24"/>
              </w:rPr>
              <w:t>…</w:t>
            </w:r>
          </w:p>
        </w:tc>
      </w:tr>
      <w:tr w:rsidR="003E3179" w:rsidTr="001E1256">
        <w:tc>
          <w:tcPr>
            <w:tcW w:w="2660" w:type="dxa"/>
            <w:shd w:val="clear" w:color="auto" w:fill="92CDDC" w:themeFill="accent5" w:themeFillTint="99"/>
          </w:tcPr>
          <w:p w:rsidR="00116EA9" w:rsidRDefault="003E3179" w:rsidP="00760965">
            <w:pPr>
              <w:rPr>
                <w:rFonts w:ascii="Bradley Hand ITC" w:hAnsi="Bradley Hand ITC"/>
                <w:sz w:val="24"/>
                <w:szCs w:val="24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AO1: Point</w:t>
            </w:r>
            <w:r w:rsidR="00116EA9" w:rsidRPr="003E3179">
              <w:rPr>
                <w:rFonts w:ascii="Bradley Hand ITC" w:hAnsi="Bradley Hand ITC"/>
                <w:sz w:val="24"/>
                <w:szCs w:val="24"/>
              </w:rPr>
              <w:t xml:space="preserve"> </w:t>
            </w:r>
          </w:p>
          <w:p w:rsidR="003E3179" w:rsidRPr="00FA128A" w:rsidRDefault="00116EA9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3E3179">
              <w:rPr>
                <w:rFonts w:ascii="Bradley Hand ITC" w:hAnsi="Bradley Hand ITC"/>
                <w:sz w:val="24"/>
                <w:szCs w:val="24"/>
              </w:rPr>
              <w:t>Covert observations</w:t>
            </w:r>
          </w:p>
        </w:tc>
        <w:tc>
          <w:tcPr>
            <w:tcW w:w="6804" w:type="dxa"/>
            <w:gridSpan w:val="3"/>
            <w:shd w:val="clear" w:color="auto" w:fill="92CDDC" w:themeFill="accent5" w:themeFillTint="99"/>
          </w:tcPr>
          <w:p w:rsidR="003E3179" w:rsidRDefault="003E3179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Explain</w:t>
            </w:r>
          </w:p>
          <w:p w:rsidR="00116EA9" w:rsidRPr="00FA128A" w:rsidRDefault="00116EA9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3E3179" w:rsidTr="001E1256">
        <w:tc>
          <w:tcPr>
            <w:tcW w:w="2660" w:type="dxa"/>
            <w:tcBorders>
              <w:bottom w:val="single" w:sz="4" w:space="0" w:color="auto"/>
            </w:tcBorders>
            <w:shd w:val="clear" w:color="auto" w:fill="C2D69B" w:themeFill="accent3" w:themeFillTint="99"/>
          </w:tcPr>
          <w:p w:rsidR="00116EA9" w:rsidRDefault="003E3179" w:rsidP="00760965">
            <w:pPr>
              <w:rPr>
                <w:rFonts w:ascii="Palatino Linotype" w:hAnsi="Palatino Linotype"/>
                <w:b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AO3: Point</w:t>
            </w:r>
            <w:r w:rsidR="00116EA9" w:rsidRPr="0087313E">
              <w:rPr>
                <w:rFonts w:ascii="Palatino Linotype" w:hAnsi="Palatino Linotype"/>
                <w:b/>
              </w:rPr>
              <w:t xml:space="preserve"> </w:t>
            </w:r>
          </w:p>
          <w:p w:rsidR="003E3179" w:rsidRPr="00FA128A" w:rsidRDefault="00116EA9" w:rsidP="00760965">
            <w:pPr>
              <w:rPr>
                <w:rFonts w:ascii="Bradley Hand ITC" w:hAnsi="Bradley Hand ITC"/>
                <w:sz w:val="20"/>
                <w:szCs w:val="20"/>
              </w:rPr>
            </w:pPr>
            <w:r w:rsidRPr="0087313E">
              <w:rPr>
                <w:rFonts w:ascii="Palatino Linotype" w:hAnsi="Palatino Linotype"/>
                <w:b/>
              </w:rPr>
              <w:t>Strength:</w:t>
            </w:r>
          </w:p>
        </w:tc>
        <w:tc>
          <w:tcPr>
            <w:tcW w:w="3827" w:type="dxa"/>
            <w:gridSpan w:val="2"/>
            <w:tcBorders>
              <w:bottom w:val="single" w:sz="4" w:space="0" w:color="auto"/>
            </w:tcBorders>
            <w:shd w:val="clear" w:color="auto" w:fill="C2D69B" w:themeFill="accent3" w:themeFillTint="99"/>
          </w:tcPr>
          <w:p w:rsidR="003E3179" w:rsidRDefault="003E3179" w:rsidP="00760965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E</w:t>
            </w:r>
          </w:p>
          <w:p w:rsidR="00116EA9" w:rsidRPr="00FA128A" w:rsidRDefault="00116EA9" w:rsidP="00760965">
            <w:pPr>
              <w:rPr>
                <w:rFonts w:ascii="Bradley Hand ITC" w:hAnsi="Bradley Hand ITC"/>
                <w:sz w:val="20"/>
                <w:szCs w:val="20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shd w:val="clear" w:color="auto" w:fill="C2D69B" w:themeFill="accent3" w:themeFillTint="99"/>
          </w:tcPr>
          <w:p w:rsidR="003E3179" w:rsidRPr="00FA128A" w:rsidRDefault="003E3179" w:rsidP="00760965">
            <w:pPr>
              <w:rPr>
                <w:rFonts w:ascii="Bradley Hand ITC" w:hAnsi="Bradley Hand ITC"/>
                <w:sz w:val="20"/>
                <w:szCs w:val="20"/>
              </w:rPr>
            </w:pPr>
            <w:r w:rsidRPr="00FA128A">
              <w:rPr>
                <w:rFonts w:ascii="Palatino Linotype" w:hAnsi="Palatino Linotype"/>
                <w:b/>
                <w:sz w:val="20"/>
                <w:szCs w:val="20"/>
              </w:rPr>
              <w:t>L: This is important because...</w:t>
            </w:r>
          </w:p>
        </w:tc>
      </w:tr>
      <w:tr w:rsidR="00116EA9" w:rsidTr="00184298">
        <w:tc>
          <w:tcPr>
            <w:tcW w:w="9464" w:type="dxa"/>
            <w:gridSpan w:val="4"/>
            <w:shd w:val="clear" w:color="auto" w:fill="D99594" w:themeFill="accent2" w:themeFillTint="99"/>
          </w:tcPr>
          <w:p w:rsidR="00116EA9" w:rsidRPr="00116EA9" w:rsidRDefault="00116EA9" w:rsidP="00760965">
            <w:pPr>
              <w:rPr>
                <w:rFonts w:ascii="Bradley Hand ITC" w:hAnsi="Bradley Hand ITC"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Competing argument?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  <w:r w:rsidRPr="00116EA9">
              <w:rPr>
                <w:rFonts w:ascii="Bradley Hand ITC" w:hAnsi="Bradley Hand ITC"/>
                <w:sz w:val="24"/>
                <w:szCs w:val="24"/>
              </w:rPr>
              <w:t>However, …to include overt</w:t>
            </w:r>
            <w:r>
              <w:rPr>
                <w:rFonts w:ascii="Bradley Hand ITC" w:hAnsi="Bradley Hand ITC"/>
                <w:sz w:val="24"/>
                <w:szCs w:val="24"/>
              </w:rPr>
              <w:t xml:space="preserve"> observation</w:t>
            </w:r>
          </w:p>
          <w:p w:rsidR="00116EA9" w:rsidRPr="00ED1290" w:rsidRDefault="00116EA9" w:rsidP="00760965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D1290" w:rsidTr="00116EA9">
        <w:tc>
          <w:tcPr>
            <w:tcW w:w="9464" w:type="dxa"/>
            <w:gridSpan w:val="4"/>
            <w:tcBorders>
              <w:bottom w:val="single" w:sz="4" w:space="0" w:color="auto"/>
            </w:tcBorders>
            <w:shd w:val="clear" w:color="auto" w:fill="FFFF66"/>
          </w:tcPr>
          <w:p w:rsidR="00ED1290" w:rsidRDefault="00ED1290" w:rsidP="00760965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ED1290">
              <w:rPr>
                <w:rFonts w:ascii="Palatino Linotype" w:hAnsi="Palatino Linotype"/>
                <w:b/>
                <w:sz w:val="24"/>
                <w:szCs w:val="24"/>
              </w:rPr>
              <w:t>Balanced conclusion</w:t>
            </w:r>
          </w:p>
          <w:p w:rsidR="00116EA9" w:rsidRDefault="00116EA9" w:rsidP="00760965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116EA9" w:rsidRPr="00ED1290" w:rsidRDefault="00116EA9" w:rsidP="00760965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</w:tbl>
    <w:p w:rsidR="00FA66DB" w:rsidRPr="00CA00FF" w:rsidRDefault="001E1256" w:rsidP="00CA00FF">
      <w:pPr>
        <w:tabs>
          <w:tab w:val="left" w:pos="960"/>
        </w:tabs>
      </w:pPr>
      <w:bookmarkStart w:id="0" w:name="_GoBack"/>
      <w:bookmarkEnd w:id="0"/>
    </w:p>
    <w:sectPr w:rsidR="00FA66DB" w:rsidRPr="00CA00FF" w:rsidSect="00CA00FF">
      <w:headerReference w:type="default" r:id="rId8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0FF" w:rsidRDefault="00CA00FF" w:rsidP="00CA00FF">
      <w:pPr>
        <w:spacing w:after="0" w:line="240" w:lineRule="auto"/>
      </w:pPr>
      <w:r>
        <w:separator/>
      </w:r>
    </w:p>
  </w:endnote>
  <w:endnote w:type="continuationSeparator" w:id="0">
    <w:p w:rsidR="00CA00FF" w:rsidRDefault="00CA00FF" w:rsidP="00CA0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0FF" w:rsidRDefault="00CA00FF" w:rsidP="00CA00FF">
      <w:pPr>
        <w:spacing w:after="0" w:line="240" w:lineRule="auto"/>
      </w:pPr>
      <w:r>
        <w:separator/>
      </w:r>
    </w:p>
  </w:footnote>
  <w:footnote w:type="continuationSeparator" w:id="0">
    <w:p w:rsidR="00CA00FF" w:rsidRDefault="00CA00FF" w:rsidP="00CA0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CA00FF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0A7D5AA8A5D408D83555A31752DC131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CA00FF" w:rsidRDefault="00CA00FF" w:rsidP="00CA00FF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 AL Paper 1: Learning – METHODS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3D556DDF287B4CD18B247E90B7856ED8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CA00FF" w:rsidRDefault="00CA00FF" w:rsidP="00CA00FF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2018</w:t>
              </w:r>
            </w:p>
          </w:tc>
        </w:sdtContent>
      </w:sdt>
    </w:tr>
  </w:tbl>
  <w:p w:rsidR="00CA00FF" w:rsidRDefault="00CA00F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0FF"/>
    <w:rsid w:val="0003387E"/>
    <w:rsid w:val="00116EA9"/>
    <w:rsid w:val="001E1256"/>
    <w:rsid w:val="003E3179"/>
    <w:rsid w:val="00CA00FF"/>
    <w:rsid w:val="00CC5D74"/>
    <w:rsid w:val="00ED1290"/>
    <w:rsid w:val="00ED5795"/>
    <w:rsid w:val="00FA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0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00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00FF"/>
  </w:style>
  <w:style w:type="paragraph" w:styleId="Footer">
    <w:name w:val="footer"/>
    <w:basedOn w:val="Normal"/>
    <w:link w:val="FooterChar"/>
    <w:uiPriority w:val="99"/>
    <w:unhideWhenUsed/>
    <w:rsid w:val="00CA00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00FF"/>
  </w:style>
  <w:style w:type="paragraph" w:styleId="BalloonText">
    <w:name w:val="Balloon Text"/>
    <w:basedOn w:val="Normal"/>
    <w:link w:val="BalloonTextChar"/>
    <w:uiPriority w:val="99"/>
    <w:semiHidden/>
    <w:unhideWhenUsed/>
    <w:rsid w:val="00CA0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0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A0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0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00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00FF"/>
  </w:style>
  <w:style w:type="paragraph" w:styleId="Footer">
    <w:name w:val="footer"/>
    <w:basedOn w:val="Normal"/>
    <w:link w:val="FooterChar"/>
    <w:uiPriority w:val="99"/>
    <w:unhideWhenUsed/>
    <w:rsid w:val="00CA00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00FF"/>
  </w:style>
  <w:style w:type="paragraph" w:styleId="BalloonText">
    <w:name w:val="Balloon Text"/>
    <w:basedOn w:val="Normal"/>
    <w:link w:val="BalloonTextChar"/>
    <w:uiPriority w:val="99"/>
    <w:semiHidden/>
    <w:unhideWhenUsed/>
    <w:rsid w:val="00CA0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00F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A00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0A7D5AA8A5D408D83555A31752DC1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F4E3AC-1AE7-4E6B-9A1A-E2994C21E67B}"/>
      </w:docPartPr>
      <w:docPartBody>
        <w:p w:rsidR="00000000" w:rsidRDefault="00DB3935" w:rsidP="00DB3935">
          <w:pPr>
            <w:pStyle w:val="30A7D5AA8A5D408D83555A31752DC131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3D556DDF287B4CD18B247E90B7856E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7CE9F1-EBE5-455F-9864-F2E905F2BD4F}"/>
      </w:docPartPr>
      <w:docPartBody>
        <w:p w:rsidR="00000000" w:rsidRDefault="00DB3935" w:rsidP="00DB3935">
          <w:pPr>
            <w:pStyle w:val="3D556DDF287B4CD18B247E90B7856ED8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935"/>
    <w:rsid w:val="00DB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0A7D5AA8A5D408D83555A31752DC131">
    <w:name w:val="30A7D5AA8A5D408D83555A31752DC131"/>
    <w:rsid w:val="00DB3935"/>
  </w:style>
  <w:style w:type="paragraph" w:customStyle="1" w:styleId="3D556DDF287B4CD18B247E90B7856ED8">
    <w:name w:val="3D556DDF287B4CD18B247E90B7856ED8"/>
    <w:rsid w:val="00DB393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0A7D5AA8A5D408D83555A31752DC131">
    <w:name w:val="30A7D5AA8A5D408D83555A31752DC131"/>
    <w:rsid w:val="00DB3935"/>
  </w:style>
  <w:style w:type="paragraph" w:customStyle="1" w:styleId="3D556DDF287B4CD18B247E90B7856ED8">
    <w:name w:val="3D556DDF287B4CD18B247E90B7856ED8"/>
    <w:rsid w:val="00DB393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Paper 1: Learning – METHODS (AJW)</dc:title>
  <dc:creator>Amanda Wood (AJW)</dc:creator>
  <cp:lastModifiedBy>Amanda Wood (AJW)</cp:lastModifiedBy>
  <cp:revision>1</cp:revision>
  <dcterms:created xsi:type="dcterms:W3CDTF">2018-12-12T18:28:00Z</dcterms:created>
  <dcterms:modified xsi:type="dcterms:W3CDTF">2018-12-12T22:03:00Z</dcterms:modified>
</cp:coreProperties>
</file>