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38DE" w:rsidRPr="00E10A85" w:rsidRDefault="00B638DE" w:rsidP="00B638DE">
      <w:pPr>
        <w:shd w:val="clear" w:color="auto" w:fill="FFFFFF"/>
        <w:spacing w:before="100" w:beforeAutospacing="1" w:after="100" w:afterAutospacing="1" w:line="240" w:lineRule="auto"/>
        <w:rPr>
          <w:rFonts w:ascii="Palatino Linotype" w:eastAsia="Times New Roman" w:hAnsi="Palatino Linotype" w:cs="Times New Roman"/>
          <w:sz w:val="32"/>
          <w:szCs w:val="32"/>
          <w:lang w:eastAsia="en-GB"/>
        </w:rPr>
      </w:pPr>
      <w:r w:rsidRPr="00B638DE">
        <w:rPr>
          <w:rFonts w:ascii="Palatino Linotype" w:eastAsia="Times New Roman" w:hAnsi="Palatino Linotype" w:cs="Times New Roman"/>
          <w:sz w:val="32"/>
          <w:szCs w:val="32"/>
          <w:lang w:eastAsia="en-GB"/>
        </w:rPr>
        <w:t xml:space="preserve">Discuss </w:t>
      </w:r>
      <w:r w:rsidRPr="00B638DE">
        <w:rPr>
          <w:rFonts w:ascii="Palatino Linotype" w:eastAsia="Times New Roman" w:hAnsi="Palatino Linotype" w:cs="Times New Roman"/>
          <w:b/>
          <w:sz w:val="32"/>
          <w:szCs w:val="32"/>
          <w:lang w:eastAsia="en-GB"/>
        </w:rPr>
        <w:t>one</w:t>
      </w:r>
      <w:r w:rsidRPr="00B638DE">
        <w:rPr>
          <w:rFonts w:ascii="Palatino Linotype" w:eastAsia="Times New Roman" w:hAnsi="Palatino Linotype" w:cs="Times New Roman"/>
          <w:sz w:val="32"/>
          <w:szCs w:val="32"/>
          <w:lang w:eastAsia="en-GB"/>
        </w:rPr>
        <w:t xml:space="preserve"> or more ethical considerations </w:t>
      </w:r>
      <w:r w:rsidR="00E10A85" w:rsidRPr="00E10A85">
        <w:rPr>
          <w:rFonts w:ascii="Palatino Linotype" w:eastAsia="Times New Roman" w:hAnsi="Palatino Linotype" w:cs="Times New Roman"/>
          <w:sz w:val="32"/>
          <w:szCs w:val="32"/>
          <w:lang w:eastAsia="en-GB"/>
        </w:rPr>
        <w:t xml:space="preserve">relevant to the study of the </w:t>
      </w:r>
      <w:r w:rsidRPr="00B638DE">
        <w:rPr>
          <w:rFonts w:ascii="Palatino Linotype" w:eastAsia="Times New Roman" w:hAnsi="Palatino Linotype" w:cs="Times New Roman"/>
          <w:sz w:val="32"/>
          <w:szCs w:val="32"/>
          <w:lang w:eastAsia="en-GB"/>
        </w:rPr>
        <w:t>aetiology of abnormal psychology. (22)</w:t>
      </w:r>
    </w:p>
    <w:p w:rsidR="001B6F91" w:rsidRPr="001B6F91" w:rsidRDefault="001B6F91" w:rsidP="00B638DE">
      <w:pPr>
        <w:shd w:val="clear" w:color="auto" w:fill="FFFFFF"/>
        <w:spacing w:before="100" w:beforeAutospacing="1" w:after="100" w:afterAutospacing="1" w:line="240" w:lineRule="auto"/>
        <w:rPr>
          <w:rFonts w:ascii="Palatino Linotype" w:hAnsi="Palatino Linotype"/>
          <w:sz w:val="24"/>
          <w:szCs w:val="24"/>
        </w:rPr>
      </w:pPr>
      <w:r>
        <w:rPr>
          <w:rFonts w:ascii="Palatino Linotype" w:hAnsi="Palatino Linotype"/>
          <w:sz w:val="24"/>
          <w:szCs w:val="24"/>
        </w:rPr>
        <w:t xml:space="preserve">All psychological research proposals are assessed against a set of </w:t>
      </w:r>
      <w:r w:rsidR="00581198" w:rsidRPr="001B6F91">
        <w:rPr>
          <w:rFonts w:ascii="Palatino Linotype" w:hAnsi="Palatino Linotype"/>
          <w:sz w:val="24"/>
          <w:szCs w:val="24"/>
        </w:rPr>
        <w:t xml:space="preserve">moral principles </w:t>
      </w:r>
      <w:r>
        <w:rPr>
          <w:rFonts w:ascii="Palatino Linotype" w:hAnsi="Palatino Linotype"/>
          <w:sz w:val="24"/>
          <w:szCs w:val="24"/>
        </w:rPr>
        <w:t xml:space="preserve">that </w:t>
      </w:r>
      <w:r w:rsidR="00581198" w:rsidRPr="001B6F91">
        <w:rPr>
          <w:rFonts w:ascii="Palatino Linotype" w:hAnsi="Palatino Linotype"/>
          <w:sz w:val="24"/>
          <w:szCs w:val="24"/>
        </w:rPr>
        <w:t>guid</w:t>
      </w:r>
      <w:r>
        <w:rPr>
          <w:rFonts w:ascii="Palatino Linotype" w:hAnsi="Palatino Linotype"/>
          <w:sz w:val="24"/>
          <w:szCs w:val="24"/>
        </w:rPr>
        <w:t>e</w:t>
      </w:r>
      <w:r w:rsidR="00581198" w:rsidRPr="001B6F91">
        <w:rPr>
          <w:rFonts w:ascii="Palatino Linotype" w:hAnsi="Palatino Linotype"/>
          <w:sz w:val="24"/>
          <w:szCs w:val="24"/>
        </w:rPr>
        <w:t xml:space="preserve"> research from its inception through to completion and publication of </w:t>
      </w:r>
      <w:r>
        <w:rPr>
          <w:rFonts w:ascii="Palatino Linotype" w:hAnsi="Palatino Linotype"/>
          <w:sz w:val="24"/>
          <w:szCs w:val="24"/>
        </w:rPr>
        <w:t xml:space="preserve">the </w:t>
      </w:r>
      <w:r w:rsidR="00581198" w:rsidRPr="001B6F91">
        <w:rPr>
          <w:rFonts w:ascii="Palatino Linotype" w:hAnsi="Palatino Linotype"/>
          <w:sz w:val="24"/>
          <w:szCs w:val="24"/>
        </w:rPr>
        <w:t xml:space="preserve">results. </w:t>
      </w:r>
      <w:r>
        <w:rPr>
          <w:rFonts w:ascii="Palatino Linotype" w:hAnsi="Palatino Linotype"/>
          <w:sz w:val="24"/>
          <w:szCs w:val="24"/>
        </w:rPr>
        <w:t xml:space="preserve"> </w:t>
      </w:r>
      <w:r w:rsidR="00F11351" w:rsidRPr="001B6F91">
        <w:rPr>
          <w:rFonts w:ascii="Palatino Linotype" w:eastAsia="Times New Roman" w:hAnsi="Palatino Linotype" w:cs="Times New Roman"/>
          <w:sz w:val="24"/>
          <w:szCs w:val="24"/>
          <w:lang w:eastAsia="en-GB"/>
        </w:rPr>
        <w:t xml:space="preserve">In the UK, </w:t>
      </w:r>
      <w:r>
        <w:rPr>
          <w:rFonts w:ascii="Palatino Linotype" w:eastAsia="Times New Roman" w:hAnsi="Palatino Linotype" w:cs="Times New Roman"/>
          <w:sz w:val="24"/>
          <w:szCs w:val="24"/>
          <w:lang w:eastAsia="en-GB"/>
        </w:rPr>
        <w:t xml:space="preserve">these principles are explained in the </w:t>
      </w:r>
      <w:r w:rsidR="00F11351" w:rsidRPr="001B6F91">
        <w:rPr>
          <w:rFonts w:ascii="Palatino Linotype" w:eastAsia="Times New Roman" w:hAnsi="Palatino Linotype" w:cs="Times New Roman"/>
          <w:sz w:val="24"/>
          <w:szCs w:val="24"/>
          <w:lang w:eastAsia="en-GB"/>
        </w:rPr>
        <w:t>BPS Code of Ethics and Conduct (2018)</w:t>
      </w:r>
      <w:r w:rsidR="00581198" w:rsidRPr="001B6F91">
        <w:rPr>
          <w:rFonts w:ascii="Palatino Linotype" w:eastAsia="Times New Roman" w:hAnsi="Palatino Linotype" w:cs="Times New Roman"/>
          <w:sz w:val="24"/>
          <w:szCs w:val="24"/>
          <w:lang w:eastAsia="en-GB"/>
        </w:rPr>
        <w:t xml:space="preserve"> and the BPS Code of Human Research Ethics (2014). </w:t>
      </w:r>
      <w:r>
        <w:rPr>
          <w:rFonts w:ascii="Palatino Linotype" w:hAnsi="Palatino Linotype"/>
          <w:sz w:val="24"/>
          <w:szCs w:val="24"/>
        </w:rPr>
        <w:t xml:space="preserve"> </w:t>
      </w:r>
      <w:r>
        <w:rPr>
          <w:rFonts w:ascii="Palatino Linotype" w:eastAsia="Times New Roman" w:hAnsi="Palatino Linotype" w:cs="Times New Roman"/>
          <w:sz w:val="24"/>
          <w:szCs w:val="24"/>
          <w:lang w:eastAsia="en-GB"/>
        </w:rPr>
        <w:t xml:space="preserve">Ethical decision-making is not ‘black and white’ and researchers must weigh potential benefits to wider society against the costs to the participants. </w:t>
      </w:r>
    </w:p>
    <w:p w:rsidR="001B6F91" w:rsidRDefault="001B6F91" w:rsidP="00B638DE">
      <w:pPr>
        <w:shd w:val="clear" w:color="auto" w:fill="FFFFFF"/>
        <w:spacing w:before="100" w:beforeAutospacing="1" w:after="100" w:afterAutospacing="1" w:line="240" w:lineRule="auto"/>
        <w:rPr>
          <w:rFonts w:ascii="Palatino Linotype" w:eastAsia="Times New Roman" w:hAnsi="Palatino Linotype" w:cs="Times New Roman"/>
          <w:sz w:val="24"/>
          <w:szCs w:val="24"/>
          <w:lang w:eastAsia="en-GB"/>
        </w:rPr>
      </w:pPr>
      <w:r>
        <w:rPr>
          <w:rFonts w:ascii="Palatino Linotype" w:eastAsia="Times New Roman" w:hAnsi="Palatino Linotype" w:cs="Times New Roman"/>
          <w:sz w:val="24"/>
          <w:szCs w:val="24"/>
          <w:lang w:eastAsia="en-GB"/>
        </w:rPr>
        <w:t xml:space="preserve">When researching </w:t>
      </w:r>
      <w:r w:rsidR="004428E1">
        <w:rPr>
          <w:rFonts w:ascii="Palatino Linotype" w:eastAsia="Times New Roman" w:hAnsi="Palatino Linotype" w:cs="Times New Roman"/>
          <w:sz w:val="24"/>
          <w:szCs w:val="24"/>
          <w:lang w:eastAsia="en-GB"/>
        </w:rPr>
        <w:t xml:space="preserve">the aetiology </w:t>
      </w:r>
      <w:r>
        <w:rPr>
          <w:rFonts w:ascii="Palatino Linotype" w:eastAsia="Times New Roman" w:hAnsi="Palatino Linotype" w:cs="Times New Roman"/>
          <w:sz w:val="24"/>
          <w:szCs w:val="24"/>
          <w:lang w:eastAsia="en-GB"/>
        </w:rPr>
        <w:t>of abnormal behaviour, ethical considerations are particularly salient as the benefits of understanding disorders such as depression are immeasurable in terms of screening and treatment</w:t>
      </w:r>
      <w:r w:rsidR="004428E1">
        <w:rPr>
          <w:rFonts w:ascii="Palatino Linotype" w:eastAsia="Times New Roman" w:hAnsi="Palatino Linotype" w:cs="Times New Roman"/>
          <w:sz w:val="24"/>
          <w:szCs w:val="24"/>
          <w:lang w:eastAsia="en-GB"/>
        </w:rPr>
        <w:t xml:space="preserve">, however, </w:t>
      </w:r>
      <w:r>
        <w:rPr>
          <w:rFonts w:ascii="Palatino Linotype" w:eastAsia="Times New Roman" w:hAnsi="Palatino Linotype" w:cs="Times New Roman"/>
          <w:sz w:val="24"/>
          <w:szCs w:val="24"/>
          <w:lang w:eastAsia="en-GB"/>
        </w:rPr>
        <w:t>research projects often involve people who are already vulnerable due to their mental health disorders or putting people who do not have diagnosed disorders into situations which expose them to potentially harmful outcomes.</w:t>
      </w:r>
    </w:p>
    <w:p w:rsidR="001B6F91" w:rsidRDefault="001B6F91" w:rsidP="00B638DE">
      <w:pPr>
        <w:shd w:val="clear" w:color="auto" w:fill="FFFFFF"/>
        <w:spacing w:before="100" w:beforeAutospacing="1" w:after="100" w:afterAutospacing="1" w:line="240" w:lineRule="auto"/>
        <w:rPr>
          <w:rFonts w:ascii="Palatino Linotype" w:eastAsia="Times New Roman" w:hAnsi="Palatino Linotype" w:cs="Times New Roman"/>
          <w:sz w:val="24"/>
          <w:szCs w:val="24"/>
          <w:lang w:eastAsia="en-GB"/>
        </w:rPr>
      </w:pPr>
      <w:r>
        <w:rPr>
          <w:rFonts w:ascii="Palatino Linotype" w:eastAsia="Times New Roman" w:hAnsi="Palatino Linotype" w:cs="Times New Roman"/>
          <w:sz w:val="24"/>
          <w:szCs w:val="24"/>
          <w:lang w:eastAsia="en-GB"/>
        </w:rPr>
        <w:t>In this essay we will consider two ethical considerations; consent and protection from harm with reference to two studies o</w:t>
      </w:r>
      <w:r w:rsidR="004428E1">
        <w:rPr>
          <w:rFonts w:ascii="Palatino Linotype" w:eastAsia="Times New Roman" w:hAnsi="Palatino Linotype" w:cs="Times New Roman"/>
          <w:sz w:val="24"/>
          <w:szCs w:val="24"/>
          <w:lang w:eastAsia="en-GB"/>
        </w:rPr>
        <w:t>f the</w:t>
      </w:r>
      <w:r>
        <w:rPr>
          <w:rFonts w:ascii="Palatino Linotype" w:eastAsia="Times New Roman" w:hAnsi="Palatino Linotype" w:cs="Times New Roman"/>
          <w:sz w:val="24"/>
          <w:szCs w:val="24"/>
          <w:lang w:eastAsia="en-GB"/>
        </w:rPr>
        <w:t xml:space="preserve"> causes of major depressive disorder, a debilitating condition which affects 21% of the US population of some point in their lives. The studies in question are Moreno et al (1999) an experimental study looking at biological </w:t>
      </w:r>
      <w:r w:rsidR="004428E1">
        <w:rPr>
          <w:rFonts w:ascii="Palatino Linotype" w:eastAsia="Times New Roman" w:hAnsi="Palatino Linotype" w:cs="Times New Roman"/>
          <w:sz w:val="24"/>
          <w:szCs w:val="24"/>
          <w:lang w:eastAsia="en-GB"/>
        </w:rPr>
        <w:t>factors</w:t>
      </w:r>
      <w:r>
        <w:rPr>
          <w:rFonts w:ascii="Palatino Linotype" w:eastAsia="Times New Roman" w:hAnsi="Palatino Linotype" w:cs="Times New Roman"/>
          <w:sz w:val="24"/>
          <w:szCs w:val="24"/>
          <w:lang w:eastAsia="en-GB"/>
        </w:rPr>
        <w:t xml:space="preserve"> and Lackey (2008) a qualitative study looking at lay explanations of depression in Mexican </w:t>
      </w:r>
      <w:proofErr w:type="gramStart"/>
      <w:r>
        <w:rPr>
          <w:rFonts w:ascii="Palatino Linotype" w:eastAsia="Times New Roman" w:hAnsi="Palatino Linotype" w:cs="Times New Roman"/>
          <w:sz w:val="24"/>
          <w:szCs w:val="24"/>
          <w:lang w:eastAsia="en-GB"/>
        </w:rPr>
        <w:t>immigrants</w:t>
      </w:r>
      <w:proofErr w:type="gramEnd"/>
      <w:r>
        <w:rPr>
          <w:rFonts w:ascii="Palatino Linotype" w:eastAsia="Times New Roman" w:hAnsi="Palatino Linotype" w:cs="Times New Roman"/>
          <w:sz w:val="24"/>
          <w:szCs w:val="24"/>
          <w:lang w:eastAsia="en-GB"/>
        </w:rPr>
        <w:t xml:space="preserve"> males.</w:t>
      </w:r>
    </w:p>
    <w:p w:rsidR="001B6F91" w:rsidRDefault="001B6F91" w:rsidP="001B6F91">
      <w:pPr>
        <w:shd w:val="clear" w:color="auto" w:fill="FFFFFF"/>
        <w:spacing w:before="100" w:beforeAutospacing="1" w:after="100" w:afterAutospacing="1" w:line="240" w:lineRule="auto"/>
        <w:rPr>
          <w:rFonts w:ascii="Palatino Linotype" w:eastAsia="Times New Roman" w:hAnsi="Palatino Linotype" w:cs="Times New Roman"/>
          <w:sz w:val="24"/>
          <w:szCs w:val="24"/>
          <w:lang w:eastAsia="en-GB"/>
        </w:rPr>
      </w:pPr>
      <w:r>
        <w:rPr>
          <w:rFonts w:ascii="Palatino Linotype" w:eastAsia="Times New Roman" w:hAnsi="Palatino Linotype" w:cs="Times New Roman"/>
          <w:sz w:val="24"/>
          <w:szCs w:val="24"/>
          <w:lang w:eastAsia="en-GB"/>
        </w:rPr>
        <w:t xml:space="preserve">The BPS </w:t>
      </w:r>
      <w:r w:rsidR="004428E1">
        <w:rPr>
          <w:rFonts w:ascii="Palatino Linotype" w:eastAsia="Times New Roman" w:hAnsi="Palatino Linotype" w:cs="Times New Roman"/>
          <w:sz w:val="24"/>
          <w:szCs w:val="24"/>
          <w:lang w:eastAsia="en-GB"/>
        </w:rPr>
        <w:t>refers</w:t>
      </w:r>
      <w:r>
        <w:rPr>
          <w:rFonts w:ascii="Palatino Linotype" w:eastAsia="Times New Roman" w:hAnsi="Palatino Linotype" w:cs="Times New Roman"/>
          <w:sz w:val="24"/>
          <w:szCs w:val="24"/>
          <w:lang w:eastAsia="en-GB"/>
        </w:rPr>
        <w:t xml:space="preserve"> to ‘valid consent’ meaning that participants must take part willingly, having had access to adequate information about the study. They should also be allowed to withdraw their consent at any point in the proceedings including after their data has been collected</w:t>
      </w:r>
      <w:r w:rsidR="004428E1">
        <w:rPr>
          <w:rFonts w:ascii="Palatino Linotype" w:eastAsia="Times New Roman" w:hAnsi="Palatino Linotype" w:cs="Times New Roman"/>
          <w:sz w:val="24"/>
          <w:szCs w:val="24"/>
          <w:lang w:eastAsia="en-GB"/>
        </w:rPr>
        <w:t>.</w:t>
      </w:r>
      <w:r>
        <w:rPr>
          <w:rFonts w:ascii="Palatino Linotype" w:eastAsia="Times New Roman" w:hAnsi="Palatino Linotype" w:cs="Times New Roman"/>
          <w:sz w:val="24"/>
          <w:szCs w:val="24"/>
          <w:lang w:eastAsia="en-GB"/>
        </w:rPr>
        <w:t xml:space="preserve"> </w:t>
      </w:r>
      <w:r w:rsidR="004428E1">
        <w:rPr>
          <w:rFonts w:ascii="Palatino Linotype" w:eastAsia="Times New Roman" w:hAnsi="Palatino Linotype" w:cs="Times New Roman"/>
          <w:sz w:val="24"/>
          <w:szCs w:val="24"/>
          <w:lang w:eastAsia="en-GB"/>
        </w:rPr>
        <w:t>A</w:t>
      </w:r>
      <w:r>
        <w:rPr>
          <w:rFonts w:ascii="Palatino Linotype" w:eastAsia="Times New Roman" w:hAnsi="Palatino Linotype" w:cs="Times New Roman"/>
          <w:sz w:val="24"/>
          <w:szCs w:val="24"/>
          <w:lang w:eastAsia="en-GB"/>
        </w:rPr>
        <w:t xml:space="preserve">t </w:t>
      </w:r>
      <w:r w:rsidR="004428E1">
        <w:rPr>
          <w:rFonts w:ascii="Palatino Linotype" w:eastAsia="Times New Roman" w:hAnsi="Palatino Linotype" w:cs="Times New Roman"/>
          <w:sz w:val="24"/>
          <w:szCs w:val="24"/>
          <w:lang w:eastAsia="en-GB"/>
        </w:rPr>
        <w:t>this</w:t>
      </w:r>
      <w:r>
        <w:rPr>
          <w:rFonts w:ascii="Palatino Linotype" w:eastAsia="Times New Roman" w:hAnsi="Palatino Linotype" w:cs="Times New Roman"/>
          <w:sz w:val="24"/>
          <w:szCs w:val="24"/>
          <w:lang w:eastAsia="en-GB"/>
        </w:rPr>
        <w:t xml:space="preserve"> point they can </w:t>
      </w:r>
      <w:r w:rsidR="004428E1">
        <w:rPr>
          <w:rFonts w:ascii="Palatino Linotype" w:eastAsia="Times New Roman" w:hAnsi="Palatino Linotype" w:cs="Times New Roman"/>
          <w:sz w:val="24"/>
          <w:szCs w:val="24"/>
          <w:lang w:eastAsia="en-GB"/>
        </w:rPr>
        <w:t xml:space="preserve">also </w:t>
      </w:r>
      <w:r>
        <w:rPr>
          <w:rFonts w:ascii="Palatino Linotype" w:eastAsia="Times New Roman" w:hAnsi="Palatino Linotype" w:cs="Times New Roman"/>
          <w:sz w:val="24"/>
          <w:szCs w:val="24"/>
          <w:lang w:eastAsia="en-GB"/>
        </w:rPr>
        <w:t>request that their data is</w:t>
      </w:r>
      <w:r>
        <w:rPr>
          <w:rFonts w:ascii="Palatino Linotype" w:eastAsia="Times New Roman" w:hAnsi="Palatino Linotype" w:cs="Times New Roman"/>
          <w:sz w:val="24"/>
          <w:szCs w:val="24"/>
          <w:lang w:eastAsia="en-GB"/>
        </w:rPr>
        <w:t xml:space="preserve"> destroyed</w:t>
      </w:r>
      <w:r>
        <w:rPr>
          <w:rFonts w:ascii="Palatino Linotype" w:eastAsia="Times New Roman" w:hAnsi="Palatino Linotype" w:cs="Times New Roman"/>
          <w:sz w:val="24"/>
          <w:szCs w:val="24"/>
          <w:lang w:eastAsia="en-GB"/>
        </w:rPr>
        <w:t xml:space="preserve">. The guidelines state the level of information provided should be proportional to the nature of the study and the risks involved. This links to the second of the two ethical considerations mentioned above, protection from harm. The guidelines state that a full risk assessment must be undertaken before the participant information sheet is drawn up, as the information included will stem from the risk assessment. </w:t>
      </w:r>
    </w:p>
    <w:p w:rsidR="001B6F91" w:rsidRDefault="001B6F91" w:rsidP="001B6F91">
      <w:pPr>
        <w:shd w:val="clear" w:color="auto" w:fill="FFFFFF"/>
        <w:spacing w:before="100" w:beforeAutospacing="1" w:after="100" w:afterAutospacing="1" w:line="240" w:lineRule="auto"/>
        <w:rPr>
          <w:rFonts w:ascii="Palatino Linotype" w:hAnsi="Palatino Linotype"/>
          <w:sz w:val="24"/>
          <w:szCs w:val="24"/>
        </w:rPr>
      </w:pPr>
      <w:r w:rsidRPr="001B6F91">
        <w:rPr>
          <w:rFonts w:ascii="Palatino Linotype" w:eastAsia="Times New Roman" w:hAnsi="Palatino Linotype" w:cs="Times New Roman"/>
          <w:sz w:val="24"/>
          <w:szCs w:val="24"/>
          <w:lang w:eastAsia="en-GB"/>
        </w:rPr>
        <w:t xml:space="preserve">The BPS guidelines state that </w:t>
      </w:r>
      <w:r w:rsidRPr="001B6F91">
        <w:rPr>
          <w:rFonts w:ascii="Palatino Linotype" w:hAnsi="Palatino Linotype"/>
          <w:sz w:val="24"/>
          <w:szCs w:val="24"/>
        </w:rPr>
        <w:t xml:space="preserve">in exceptional circumstances </w:t>
      </w:r>
      <w:r>
        <w:rPr>
          <w:rFonts w:ascii="Palatino Linotype" w:hAnsi="Palatino Linotype"/>
          <w:sz w:val="24"/>
          <w:szCs w:val="24"/>
        </w:rPr>
        <w:t xml:space="preserve">where </w:t>
      </w:r>
      <w:r w:rsidRPr="001B6F91">
        <w:rPr>
          <w:rFonts w:ascii="Palatino Linotype" w:hAnsi="Palatino Linotype"/>
          <w:sz w:val="24"/>
          <w:szCs w:val="24"/>
        </w:rPr>
        <w:t xml:space="preserve">harm, unusual discomfort, or other negative consequences for the individual’s future life might occur, </w:t>
      </w:r>
      <w:r>
        <w:rPr>
          <w:rFonts w:ascii="Palatino Linotype" w:hAnsi="Palatino Linotype"/>
          <w:sz w:val="24"/>
          <w:szCs w:val="24"/>
        </w:rPr>
        <w:t xml:space="preserve">the </w:t>
      </w:r>
      <w:r w:rsidRPr="001B6F91">
        <w:rPr>
          <w:rFonts w:ascii="Palatino Linotype" w:hAnsi="Palatino Linotype"/>
          <w:sz w:val="24"/>
          <w:szCs w:val="24"/>
        </w:rPr>
        <w:t xml:space="preserve">participants </w:t>
      </w:r>
      <w:r>
        <w:rPr>
          <w:rFonts w:ascii="Palatino Linotype" w:hAnsi="Palatino Linotype"/>
          <w:sz w:val="24"/>
          <w:szCs w:val="24"/>
        </w:rPr>
        <w:t xml:space="preserve">must be </w:t>
      </w:r>
      <w:r w:rsidRPr="001B6F91">
        <w:rPr>
          <w:rFonts w:ascii="Palatino Linotype" w:hAnsi="Palatino Linotype"/>
          <w:sz w:val="24"/>
          <w:szCs w:val="24"/>
        </w:rPr>
        <w:t xml:space="preserve">clearly </w:t>
      </w:r>
      <w:r>
        <w:rPr>
          <w:rFonts w:ascii="Palatino Linotype" w:hAnsi="Palatino Linotype"/>
          <w:sz w:val="24"/>
          <w:szCs w:val="24"/>
        </w:rPr>
        <w:t xml:space="preserve">informed of these </w:t>
      </w:r>
      <w:r w:rsidRPr="001B6F91">
        <w:rPr>
          <w:rFonts w:ascii="Palatino Linotype" w:hAnsi="Palatino Linotype"/>
          <w:sz w:val="24"/>
          <w:szCs w:val="24"/>
        </w:rPr>
        <w:t xml:space="preserve">additional risks prior to consent. </w:t>
      </w:r>
      <w:r>
        <w:rPr>
          <w:rFonts w:ascii="Palatino Linotype" w:eastAsia="Times New Roman" w:hAnsi="Palatino Linotype" w:cs="Times New Roman"/>
          <w:sz w:val="24"/>
          <w:szCs w:val="24"/>
          <w:lang w:eastAsia="en-GB"/>
        </w:rPr>
        <w:t xml:space="preserve">As we shall see below, this is especially relevant to the study of the etiology of abnormal behaviour in studies where the researcher deliberately attempts to elicit depressive symptoms. As mentioned above this is even more pertinent when the participants have pre-existing mental health problems which could impair their </w:t>
      </w:r>
      <w:r>
        <w:rPr>
          <w:rFonts w:ascii="Palatino Linotype" w:eastAsia="Times New Roman" w:hAnsi="Palatino Linotype" w:cs="Times New Roman"/>
          <w:sz w:val="24"/>
          <w:szCs w:val="24"/>
          <w:lang w:eastAsia="en-GB"/>
        </w:rPr>
        <w:lastRenderedPageBreak/>
        <w:t xml:space="preserve">ability to give their consent, in which case proxy consent may be necessary, i.e. </w:t>
      </w:r>
      <w:r w:rsidRPr="001B6F91">
        <w:rPr>
          <w:rFonts w:ascii="Palatino Linotype" w:eastAsia="Times New Roman" w:hAnsi="Palatino Linotype" w:cs="Times New Roman"/>
          <w:sz w:val="24"/>
          <w:szCs w:val="24"/>
          <w:lang w:eastAsia="en-GB"/>
        </w:rPr>
        <w:t xml:space="preserve">asking a family member to act on their behalf. Another special case </w:t>
      </w:r>
      <w:r>
        <w:rPr>
          <w:rFonts w:ascii="Palatino Linotype" w:eastAsia="Times New Roman" w:hAnsi="Palatino Linotype" w:cs="Times New Roman"/>
          <w:sz w:val="24"/>
          <w:szCs w:val="24"/>
          <w:lang w:eastAsia="en-GB"/>
        </w:rPr>
        <w:t>of</w:t>
      </w:r>
      <w:r w:rsidRPr="001B6F91">
        <w:rPr>
          <w:rFonts w:ascii="Palatino Linotype" w:eastAsia="Times New Roman" w:hAnsi="Palatino Linotype" w:cs="Times New Roman"/>
          <w:sz w:val="24"/>
          <w:szCs w:val="24"/>
          <w:lang w:eastAsia="en-GB"/>
        </w:rPr>
        <w:t xml:space="preserve"> relevan</w:t>
      </w:r>
      <w:r>
        <w:rPr>
          <w:rFonts w:ascii="Palatino Linotype" w:eastAsia="Times New Roman" w:hAnsi="Palatino Linotype" w:cs="Times New Roman"/>
          <w:sz w:val="24"/>
          <w:szCs w:val="24"/>
          <w:lang w:eastAsia="en-GB"/>
        </w:rPr>
        <w:t>ce</w:t>
      </w:r>
      <w:r w:rsidRPr="001B6F91">
        <w:rPr>
          <w:rFonts w:ascii="Palatino Linotype" w:eastAsia="Times New Roman" w:hAnsi="Palatino Linotype" w:cs="Times New Roman"/>
          <w:sz w:val="24"/>
          <w:szCs w:val="24"/>
          <w:lang w:eastAsia="en-GB"/>
        </w:rPr>
        <w:t xml:space="preserve"> to this topic is research with people detai</w:t>
      </w:r>
      <w:r>
        <w:rPr>
          <w:rFonts w:ascii="Palatino Linotype" w:eastAsia="Times New Roman" w:hAnsi="Palatino Linotype" w:cs="Times New Roman"/>
          <w:sz w:val="24"/>
          <w:szCs w:val="24"/>
          <w:lang w:eastAsia="en-GB"/>
        </w:rPr>
        <w:t>n</w:t>
      </w:r>
      <w:r w:rsidRPr="001B6F91">
        <w:rPr>
          <w:rFonts w:ascii="Palatino Linotype" w:eastAsia="Times New Roman" w:hAnsi="Palatino Linotype" w:cs="Times New Roman"/>
          <w:sz w:val="24"/>
          <w:szCs w:val="24"/>
          <w:lang w:eastAsia="en-GB"/>
        </w:rPr>
        <w:t xml:space="preserve">ed </w:t>
      </w:r>
      <w:r>
        <w:rPr>
          <w:rFonts w:ascii="Palatino Linotype" w:eastAsia="Times New Roman" w:hAnsi="Palatino Linotype" w:cs="Times New Roman"/>
          <w:sz w:val="24"/>
          <w:szCs w:val="24"/>
          <w:lang w:eastAsia="en-GB"/>
        </w:rPr>
        <w:t>unde</w:t>
      </w:r>
      <w:r w:rsidRPr="001B6F91">
        <w:rPr>
          <w:rFonts w:ascii="Palatino Linotype" w:eastAsia="Times New Roman" w:hAnsi="Palatino Linotype" w:cs="Times New Roman"/>
          <w:sz w:val="24"/>
          <w:szCs w:val="24"/>
          <w:lang w:eastAsia="en-GB"/>
        </w:rPr>
        <w:t>r</w:t>
      </w:r>
      <w:r>
        <w:rPr>
          <w:rFonts w:ascii="Palatino Linotype" w:eastAsia="Times New Roman" w:hAnsi="Palatino Linotype" w:cs="Times New Roman"/>
          <w:sz w:val="24"/>
          <w:szCs w:val="24"/>
          <w:lang w:eastAsia="en-GB"/>
        </w:rPr>
        <w:t xml:space="preserve"> </w:t>
      </w:r>
      <w:r w:rsidRPr="001B6F91">
        <w:rPr>
          <w:rFonts w:ascii="Palatino Linotype" w:eastAsia="Times New Roman" w:hAnsi="Palatino Linotype" w:cs="Times New Roman"/>
          <w:sz w:val="24"/>
          <w:szCs w:val="24"/>
          <w:lang w:eastAsia="en-GB"/>
        </w:rPr>
        <w:t xml:space="preserve">the </w:t>
      </w:r>
      <w:r>
        <w:rPr>
          <w:rFonts w:ascii="Palatino Linotype" w:eastAsia="Times New Roman" w:hAnsi="Palatino Linotype" w:cs="Times New Roman"/>
          <w:sz w:val="24"/>
          <w:szCs w:val="24"/>
          <w:lang w:eastAsia="en-GB"/>
        </w:rPr>
        <w:t>M</w:t>
      </w:r>
      <w:r w:rsidRPr="001B6F91">
        <w:rPr>
          <w:rFonts w:ascii="Palatino Linotype" w:eastAsia="Times New Roman" w:hAnsi="Palatino Linotype" w:cs="Times New Roman"/>
          <w:sz w:val="24"/>
          <w:szCs w:val="24"/>
          <w:lang w:eastAsia="en-GB"/>
        </w:rPr>
        <w:t xml:space="preserve">ental </w:t>
      </w:r>
      <w:r>
        <w:rPr>
          <w:rFonts w:ascii="Palatino Linotype" w:eastAsia="Times New Roman" w:hAnsi="Palatino Linotype" w:cs="Times New Roman"/>
          <w:sz w:val="24"/>
          <w:szCs w:val="24"/>
          <w:lang w:eastAsia="en-GB"/>
        </w:rPr>
        <w:t>Health Act</w:t>
      </w:r>
      <w:r w:rsidRPr="001B6F91">
        <w:rPr>
          <w:rFonts w:ascii="Palatino Linotype" w:eastAsia="Times New Roman" w:hAnsi="Palatino Linotype" w:cs="Times New Roman"/>
          <w:sz w:val="24"/>
          <w:szCs w:val="24"/>
          <w:lang w:eastAsia="en-GB"/>
        </w:rPr>
        <w:t xml:space="preserve">. The guidelines state </w:t>
      </w:r>
      <w:r w:rsidRPr="001B6F91">
        <w:rPr>
          <w:rFonts w:ascii="Palatino Linotype" w:hAnsi="Palatino Linotype"/>
          <w:sz w:val="24"/>
          <w:szCs w:val="24"/>
        </w:rPr>
        <w:t xml:space="preserve">particular care should be taken </w:t>
      </w:r>
      <w:r w:rsidRPr="001B6F91">
        <w:rPr>
          <w:rFonts w:ascii="Palatino Linotype" w:hAnsi="Palatino Linotype"/>
          <w:sz w:val="24"/>
          <w:szCs w:val="24"/>
        </w:rPr>
        <w:t xml:space="preserve">here as people in this situation may feel that </w:t>
      </w:r>
      <w:r>
        <w:rPr>
          <w:rFonts w:ascii="Palatino Linotype" w:hAnsi="Palatino Linotype"/>
          <w:sz w:val="24"/>
          <w:szCs w:val="24"/>
        </w:rPr>
        <w:t xml:space="preserve">their ability to freely give their consent is compromised due to their </w:t>
      </w:r>
      <w:r w:rsidR="004428E1">
        <w:rPr>
          <w:rFonts w:ascii="Palatino Linotype" w:hAnsi="Palatino Linotype"/>
          <w:sz w:val="24"/>
          <w:szCs w:val="24"/>
        </w:rPr>
        <w:t>lack of freedom, in other respects.</w:t>
      </w:r>
    </w:p>
    <w:p w:rsidR="001B6F91" w:rsidRDefault="001B6F91" w:rsidP="001B6F91">
      <w:pPr>
        <w:shd w:val="clear" w:color="auto" w:fill="FFFFFF"/>
        <w:spacing w:before="100" w:beforeAutospacing="1" w:after="100" w:afterAutospacing="1" w:line="240" w:lineRule="auto"/>
        <w:rPr>
          <w:rFonts w:ascii="Palatino Linotype" w:hAnsi="Palatino Linotype"/>
          <w:sz w:val="24"/>
          <w:szCs w:val="24"/>
        </w:rPr>
      </w:pPr>
      <w:r>
        <w:rPr>
          <w:rFonts w:ascii="Palatino Linotype" w:hAnsi="Palatino Linotype"/>
          <w:sz w:val="24"/>
          <w:szCs w:val="24"/>
        </w:rPr>
        <w:t xml:space="preserve">One problem with providing informed consent is that if the participants are given too much information it can jeopardise the validity of the findings, at which point the study become less beneficial to society, meaning the ends do not outweigh the means. Researchers have to carefully decide how much information to provide and when information is withheld participants must be informed at the soonest opportunity during a detailed debrief. However, it should be remembered that debriefing and the opportunity to withdraw participation after the event, is not the same as fully informed consent. </w:t>
      </w:r>
    </w:p>
    <w:p w:rsidR="001B6F91" w:rsidRDefault="001B6F91" w:rsidP="001B6F91">
      <w:pPr>
        <w:shd w:val="clear" w:color="auto" w:fill="FFFFFF"/>
        <w:spacing w:before="100" w:beforeAutospacing="1" w:after="100" w:afterAutospacing="1" w:line="240" w:lineRule="auto"/>
        <w:rPr>
          <w:rFonts w:ascii="Palatino Linotype" w:hAnsi="Palatino Linotype"/>
          <w:sz w:val="24"/>
          <w:szCs w:val="24"/>
        </w:rPr>
      </w:pPr>
      <w:r>
        <w:rPr>
          <w:rFonts w:ascii="Palatino Linotype" w:hAnsi="Palatino Linotype"/>
          <w:sz w:val="24"/>
          <w:szCs w:val="24"/>
        </w:rPr>
        <w:t>As noted above studies involving potential physical or psychological harm must be considered with the greatest of care and where the risks are significant a very detailed rationale would need to be provided to the research ethics committee in order or it to be approved.  The BPS list a many types of studies that come under this heading including research into sensitive topics, deception, access to personal information (e.g. medical records), anything that could induce psychological stress including changing the way the person perceives themselves, invasive interventions, (e.g. administering drugs, collecting blood samples).</w:t>
      </w:r>
    </w:p>
    <w:p w:rsidR="001B6F91" w:rsidRDefault="001B6F91" w:rsidP="001B6F91">
      <w:pPr>
        <w:shd w:val="clear" w:color="auto" w:fill="FFFFFF"/>
        <w:spacing w:before="100" w:beforeAutospacing="1" w:after="100" w:afterAutospacing="1" w:line="240" w:lineRule="auto"/>
        <w:rPr>
          <w:rFonts w:ascii="Palatino Linotype" w:hAnsi="Palatino Linotype"/>
          <w:sz w:val="24"/>
          <w:szCs w:val="24"/>
        </w:rPr>
      </w:pPr>
      <w:r>
        <w:rPr>
          <w:rFonts w:ascii="Palatino Linotype" w:hAnsi="Palatino Linotype"/>
          <w:sz w:val="24"/>
          <w:szCs w:val="24"/>
        </w:rPr>
        <w:t xml:space="preserve">One study which </w:t>
      </w:r>
      <w:bookmarkStart w:id="0" w:name="_GoBack"/>
      <w:r>
        <w:rPr>
          <w:rFonts w:ascii="Palatino Linotype" w:hAnsi="Palatino Linotype"/>
          <w:sz w:val="24"/>
          <w:szCs w:val="24"/>
        </w:rPr>
        <w:t xml:space="preserve">raises many ethical issues regarding protection from harm is Moreno </w:t>
      </w:r>
      <w:r w:rsidRPr="001B6F91">
        <w:rPr>
          <w:rFonts w:ascii="Palatino Linotype" w:hAnsi="Palatino Linotype"/>
          <w:i/>
          <w:sz w:val="24"/>
          <w:szCs w:val="24"/>
        </w:rPr>
        <w:t>et al</w:t>
      </w:r>
      <w:r>
        <w:rPr>
          <w:rFonts w:ascii="Palatino Linotype" w:hAnsi="Palatino Linotype"/>
          <w:sz w:val="24"/>
          <w:szCs w:val="24"/>
        </w:rPr>
        <w:t xml:space="preserve"> (1999). This study aimed to provide support for the serotonin depletion hypothesis and involved giving participants a combination of a 300ml drink and 25 capsules containing amino acids which served to deplete their tryptophan levels. Tryptophan is a prerequisite for the production of serotonin in the body and thus one would expect that depressed symptoms including lowered mood might result. </w:t>
      </w:r>
      <w:r>
        <w:rPr>
          <w:rFonts w:ascii="Palatino Linotype" w:hAnsi="Palatino Linotype"/>
          <w:sz w:val="24"/>
          <w:szCs w:val="24"/>
        </w:rPr>
        <w:t xml:space="preserve">The study involved 12 people who had </w:t>
      </w:r>
      <w:r>
        <w:rPr>
          <w:rFonts w:ascii="Palatino Linotype" w:hAnsi="Palatino Linotype"/>
          <w:sz w:val="24"/>
          <w:szCs w:val="24"/>
        </w:rPr>
        <w:t xml:space="preserve">previously </w:t>
      </w:r>
      <w:r>
        <w:rPr>
          <w:rFonts w:ascii="Palatino Linotype" w:hAnsi="Palatino Linotype"/>
          <w:sz w:val="24"/>
          <w:szCs w:val="24"/>
        </w:rPr>
        <w:t xml:space="preserve">suffered depression but currently in remission and 12 who </w:t>
      </w:r>
      <w:r>
        <w:rPr>
          <w:rFonts w:ascii="Palatino Linotype" w:hAnsi="Palatino Linotype"/>
          <w:sz w:val="24"/>
          <w:szCs w:val="24"/>
        </w:rPr>
        <w:t>non-depressed controls</w:t>
      </w:r>
      <w:r>
        <w:rPr>
          <w:rFonts w:ascii="Palatino Linotype" w:hAnsi="Palatino Linotype"/>
          <w:sz w:val="24"/>
          <w:szCs w:val="24"/>
        </w:rPr>
        <w:t xml:space="preserve">. </w:t>
      </w:r>
      <w:r>
        <w:rPr>
          <w:rFonts w:ascii="Palatino Linotype" w:hAnsi="Palatino Linotype"/>
          <w:sz w:val="24"/>
          <w:szCs w:val="24"/>
        </w:rPr>
        <w:t>They all</w:t>
      </w:r>
      <w:r>
        <w:rPr>
          <w:rFonts w:ascii="Palatino Linotype" w:hAnsi="Palatino Linotype"/>
          <w:sz w:val="24"/>
          <w:szCs w:val="24"/>
        </w:rPr>
        <w:t xml:space="preserve"> participated in two 2 day trials one week apart, where they consumed either a full or quarter strength serving </w:t>
      </w:r>
      <w:bookmarkEnd w:id="0"/>
      <w:r>
        <w:rPr>
          <w:rFonts w:ascii="Palatino Linotype" w:hAnsi="Palatino Linotype"/>
          <w:sz w:val="24"/>
          <w:szCs w:val="24"/>
        </w:rPr>
        <w:t xml:space="preserve">of the amino acids. </w:t>
      </w:r>
      <w:r>
        <w:rPr>
          <w:rFonts w:ascii="Palatino Linotype" w:hAnsi="Palatino Linotype"/>
          <w:sz w:val="24"/>
          <w:szCs w:val="24"/>
        </w:rPr>
        <w:t>Blood plasma samples were taken to measure tryptophan levels and a battery of questionnaires were used to assess depressive symptoms.</w:t>
      </w:r>
    </w:p>
    <w:p w:rsidR="001B6F91" w:rsidRDefault="001B6F91" w:rsidP="001B6F91">
      <w:pPr>
        <w:shd w:val="clear" w:color="auto" w:fill="FFFFFF"/>
        <w:spacing w:before="100" w:beforeAutospacing="1" w:after="100" w:afterAutospacing="1" w:line="240" w:lineRule="auto"/>
        <w:rPr>
          <w:rFonts w:ascii="Palatino Linotype" w:hAnsi="Palatino Linotype"/>
          <w:sz w:val="24"/>
          <w:szCs w:val="24"/>
        </w:rPr>
      </w:pPr>
      <w:r>
        <w:rPr>
          <w:rFonts w:ascii="Palatino Linotype" w:hAnsi="Palatino Linotype"/>
          <w:sz w:val="24"/>
          <w:szCs w:val="24"/>
        </w:rPr>
        <w:t xml:space="preserve">This study clearly presents many risks as outlined above including recording details of the participants’ health status which would therefore need to be stored confidentially and putting participants at risk of </w:t>
      </w:r>
      <w:r>
        <w:rPr>
          <w:rFonts w:ascii="Palatino Linotype" w:hAnsi="Palatino Linotype"/>
          <w:sz w:val="24"/>
          <w:szCs w:val="24"/>
        </w:rPr>
        <w:t>labelling themselves as ‘mentally ill’</w:t>
      </w:r>
      <w:r>
        <w:rPr>
          <w:rFonts w:ascii="Palatino Linotype" w:hAnsi="Palatino Linotype"/>
          <w:sz w:val="24"/>
          <w:szCs w:val="24"/>
        </w:rPr>
        <w:t xml:space="preserve"> and also of long term consequences. This is supported by the results of a follow up study (Moreno, et al 2000) which showed that even temporary fluctuations in </w:t>
      </w:r>
      <w:r>
        <w:rPr>
          <w:rFonts w:ascii="Palatino Linotype" w:hAnsi="Palatino Linotype"/>
          <w:sz w:val="24"/>
          <w:szCs w:val="24"/>
        </w:rPr>
        <w:lastRenderedPageBreak/>
        <w:t xml:space="preserve">tryptophan availability were predictive of future depressive episodes in the following year. </w:t>
      </w:r>
    </w:p>
    <w:p w:rsidR="001B6F91" w:rsidRDefault="001B6F91" w:rsidP="001B6F91">
      <w:pPr>
        <w:shd w:val="clear" w:color="auto" w:fill="FFFFFF"/>
        <w:spacing w:before="100" w:beforeAutospacing="1" w:after="100" w:afterAutospacing="1" w:line="240" w:lineRule="auto"/>
        <w:rPr>
          <w:rFonts w:ascii="Palatino Linotype" w:hAnsi="Palatino Linotype"/>
          <w:sz w:val="24"/>
          <w:szCs w:val="24"/>
        </w:rPr>
      </w:pPr>
      <w:r>
        <w:rPr>
          <w:rFonts w:ascii="Palatino Linotype" w:hAnsi="Palatino Linotype"/>
          <w:sz w:val="24"/>
          <w:szCs w:val="24"/>
        </w:rPr>
        <w:t>This controversial study required the researchers to weigh the costs of inducing depressive symptoms in their participants against the benefits of potentially developing tools to detect individuals who may be at risk of depressive episodes. This could facilitate the development of preventative strategies targeted at some of society’s most vulnerable individuals. Given the high prevalence of depression, the ends can be seen to justify the means as all 24 participants would have been aware of the risks before providing their informed consent. The researchers also conducted rigorous screening of the participants’ health prior to the study to minimise the risk of unexpected side effects. The threat to validity of the expectation of increased depressive symptoms post-consumption was countered by the fact that participants were unaware whether they were taking the full or quarter strength serving. This minor deception is justifiable as all participants would have given their consent to participate in both trials they just did not know which order the trials would be in.</w:t>
      </w:r>
    </w:p>
    <w:p w:rsidR="001B6F91" w:rsidRDefault="001B6F91" w:rsidP="001B6F91">
      <w:pPr>
        <w:shd w:val="clear" w:color="auto" w:fill="FFFFFF"/>
        <w:spacing w:before="100" w:beforeAutospacing="1" w:after="100" w:afterAutospacing="1" w:line="240" w:lineRule="auto"/>
        <w:rPr>
          <w:rFonts w:ascii="Palatino Linotype" w:hAnsi="Palatino Linotype"/>
          <w:sz w:val="24"/>
          <w:szCs w:val="24"/>
        </w:rPr>
      </w:pPr>
      <w:r>
        <w:rPr>
          <w:rFonts w:ascii="Palatino Linotype" w:hAnsi="Palatino Linotype"/>
          <w:sz w:val="24"/>
          <w:szCs w:val="24"/>
        </w:rPr>
        <w:t xml:space="preserve">Although protection of participants is clearly of the utmost importance, given the overarching aim of psychology to ameliorate the human condition, it is plain to see that studies such as Moreno’s are critical to advancing our understanding of the causes of mental health conditions. </w:t>
      </w:r>
    </w:p>
    <w:p w:rsidR="00E10A85" w:rsidRDefault="001B6F91" w:rsidP="00B638DE">
      <w:pPr>
        <w:shd w:val="clear" w:color="auto" w:fill="FFFFFF"/>
        <w:spacing w:before="100" w:beforeAutospacing="1" w:after="100" w:afterAutospacing="1" w:line="240" w:lineRule="auto"/>
        <w:rPr>
          <w:rFonts w:ascii="Palatino Linotype" w:hAnsi="Palatino Linotype"/>
          <w:sz w:val="24"/>
          <w:szCs w:val="24"/>
        </w:rPr>
      </w:pPr>
      <w:r>
        <w:rPr>
          <w:rFonts w:ascii="Palatino Linotype" w:hAnsi="Palatino Linotype"/>
          <w:sz w:val="24"/>
          <w:szCs w:val="24"/>
        </w:rPr>
        <w:t xml:space="preserve">A second but very different study, which also presents ethical issues, was conducted by Lackey (2008). This qualitative study involved 7 focus groups including 38 Mexican immigrant males recruited via snowball sampling from workplaces, church and community groups as well as a newspaper advertisement. All participants were first generation migrants resident in the US. The aim of the study was to explore cultural differences in the men’s understanding of depression, its causes and potential treatments. Lackey found that the men focused on the social and inter-personal aspects of depression and felt that it was caused by social stressors including acculturation, discrimination, poor wages and living in crowded apartments with other immigrants where the atmosphere could become competitive. They also noted that sadness at separation from family in Mexico and being unable to send sufficient money home were causes of depression. They saw no place for anti-depressant medications and saw this as unnecessary aspect of US culture. </w:t>
      </w:r>
    </w:p>
    <w:p w:rsidR="000C3167" w:rsidRDefault="001B6F91" w:rsidP="001B6F91">
      <w:pPr>
        <w:shd w:val="clear" w:color="auto" w:fill="FFFFFF"/>
        <w:spacing w:before="100" w:beforeAutospacing="1" w:after="100" w:afterAutospacing="1" w:line="240" w:lineRule="auto"/>
        <w:rPr>
          <w:rFonts w:ascii="Palatino Linotype" w:hAnsi="Palatino Linotype" w:cs="Arial"/>
          <w:sz w:val="24"/>
          <w:szCs w:val="24"/>
          <w:shd w:val="clear" w:color="auto" w:fill="FFFFFF"/>
        </w:rPr>
      </w:pPr>
      <w:r>
        <w:rPr>
          <w:rFonts w:ascii="Palatino Linotype" w:hAnsi="Palatino Linotype"/>
          <w:sz w:val="24"/>
          <w:szCs w:val="24"/>
        </w:rPr>
        <w:t xml:space="preserve">In this study the author notes that the men were not told in advance that the study was about depression and instead were given a more general overview that the study would be about ‘thoughts and feelings’. This means that the men were not fully informed about the nature of the questions that they would be asked and this could be seen as unethical as the men may have felt uncomfortable and even if they were told that they </w:t>
      </w:r>
      <w:r w:rsidRPr="001B6F91">
        <w:rPr>
          <w:rFonts w:ascii="Palatino Linotype" w:hAnsi="Palatino Linotype"/>
          <w:sz w:val="24"/>
          <w:szCs w:val="24"/>
        </w:rPr>
        <w:t xml:space="preserve">could withdraw at any point they may not have exercised this right as they did not wish to appear weak in front of the other men in the group. </w:t>
      </w:r>
      <w:r w:rsidRPr="001B6F91">
        <w:rPr>
          <w:rFonts w:ascii="Palatino Linotype" w:hAnsi="Palatino Linotype"/>
          <w:sz w:val="24"/>
          <w:szCs w:val="24"/>
        </w:rPr>
        <w:lastRenderedPageBreak/>
        <w:t xml:space="preserve">Machismo is an important Latino value, referring to the expectation that men should be </w:t>
      </w:r>
      <w:r w:rsidRPr="001B6F91">
        <w:rPr>
          <w:rFonts w:ascii="Palatino Linotype" w:hAnsi="Palatino Linotype" w:cs="Arial"/>
          <w:sz w:val="24"/>
          <w:szCs w:val="24"/>
          <w:shd w:val="clear" w:color="auto" w:fill="FFFFFF"/>
        </w:rPr>
        <w:t>self-reliant</w:t>
      </w:r>
      <w:r w:rsidRPr="001B6F91">
        <w:rPr>
          <w:rFonts w:ascii="Palatino Linotype" w:hAnsi="Palatino Linotype" w:cs="Arial"/>
          <w:sz w:val="24"/>
          <w:szCs w:val="24"/>
          <w:shd w:val="clear" w:color="auto" w:fill="FFFFFF"/>
        </w:rPr>
        <w:t xml:space="preserve"> and be able to provide for protect and defend his family.</w:t>
      </w:r>
      <w:r>
        <w:rPr>
          <w:rFonts w:ascii="Palatino Linotype" w:hAnsi="Palatino Linotype" w:cs="Arial"/>
          <w:sz w:val="24"/>
          <w:szCs w:val="24"/>
          <w:shd w:val="clear" w:color="auto" w:fill="FFFFFF"/>
        </w:rPr>
        <w:t xml:space="preserve"> Given that the men were being interviewed in groups including people they may know, due to the use of snowball sampling, the men may have faced culturally-relevant threats to their social status and sense of self. The author notes that the reason the term depression was not used in advance as to avoid biasing the way the men responded in the initial activity, where they had to discuss a vignette about a man who was showing symptoms of depression as defined by the DSM IV. This demonstrates that the researchers had to weigh the cost to participants of withholding the research question against the potential benefits of better understanding lay explanations of depression in a population who are at increased risk of the disorder. One issue that the researcher does not discuss is whether the men were provided with any ongoing support after the study. It is possible that participation may have brought depressive feelings to the surface in these men, a percentage of who were likely to have already have been suffering. </w:t>
      </w:r>
    </w:p>
    <w:p w:rsidR="001B6F91" w:rsidRPr="001B6F91" w:rsidRDefault="001B6F91" w:rsidP="001B6F91">
      <w:pPr>
        <w:shd w:val="clear" w:color="auto" w:fill="FFFFFF"/>
        <w:spacing w:before="100" w:beforeAutospacing="1" w:after="100" w:afterAutospacing="1" w:line="240" w:lineRule="auto"/>
        <w:rPr>
          <w:rFonts w:ascii="Arial" w:hAnsi="Arial" w:cs="Arial"/>
          <w:color w:val="222222"/>
          <w:sz w:val="21"/>
          <w:szCs w:val="21"/>
          <w:shd w:val="clear" w:color="auto" w:fill="FFFFFF"/>
        </w:rPr>
      </w:pPr>
      <w:r>
        <w:rPr>
          <w:rFonts w:ascii="Palatino Linotype" w:hAnsi="Palatino Linotype" w:cs="Arial"/>
          <w:sz w:val="24"/>
          <w:szCs w:val="24"/>
          <w:shd w:val="clear" w:color="auto" w:fill="FFFFFF"/>
        </w:rPr>
        <w:t>In conclusion, it can be seen that ethical decision-making in the field of abnormal psychology can be particularly difficult due to the potential costs to participants however with careful safeguarding and risk assessment, these studies have helped to further the understanding of the complicated web of interacting factors which pre-dispose and precipitate mental health disorders, a critical step towards prevention and treatment.</w:t>
      </w:r>
    </w:p>
    <w:sectPr w:rsidR="001B6F91" w:rsidRPr="001B6F91">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3ED4" w:rsidRDefault="004C3ED4" w:rsidP="00B638DE">
      <w:pPr>
        <w:spacing w:after="0" w:line="240" w:lineRule="auto"/>
      </w:pPr>
      <w:r>
        <w:separator/>
      </w:r>
    </w:p>
  </w:endnote>
  <w:endnote w:type="continuationSeparator" w:id="0">
    <w:p w:rsidR="004C3ED4" w:rsidRDefault="004C3ED4" w:rsidP="00B638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3ED4" w:rsidRDefault="004C3ED4" w:rsidP="00B638DE">
      <w:pPr>
        <w:spacing w:after="0" w:line="240" w:lineRule="auto"/>
      </w:pPr>
      <w:r>
        <w:separator/>
      </w:r>
    </w:p>
  </w:footnote>
  <w:footnote w:type="continuationSeparator" w:id="0">
    <w:p w:rsidR="004C3ED4" w:rsidRDefault="004C3ED4" w:rsidP="00B638D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B638DE">
      <w:trPr>
        <w:trHeight w:val="288"/>
      </w:trPr>
      <w:sdt>
        <w:sdtPr>
          <w:rPr>
            <w:rFonts w:asciiTheme="majorHAnsi" w:eastAsiaTheme="majorEastAsia" w:hAnsiTheme="majorHAnsi" w:cstheme="majorBidi"/>
            <w:sz w:val="36"/>
            <w:szCs w:val="36"/>
          </w:rPr>
          <w:alias w:val="Title"/>
          <w:id w:val="77761602"/>
          <w:placeholder>
            <w:docPart w:val="FEBBA74989AD435D90B8EAB3EBFFD8D8"/>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B638DE" w:rsidRDefault="00B638DE" w:rsidP="00B638DE">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IB Psychology – Abnormal Psychology (AJW)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1C773138C4F3435DA027F7666E888947"/>
          </w:placeholder>
          <w:dataBinding w:prefixMappings="xmlns:ns0='http://schemas.microsoft.com/office/2006/coverPageProps'" w:xpath="/ns0:CoverPageProperties[1]/ns0:PublishDate[1]" w:storeItemID="{55AF091B-3C7A-41E3-B477-F2FDAA23CFDA}"/>
          <w:date w:fullDate="2019-01-01T00:00:00Z">
            <w:dateFormat w:val="yyyy"/>
            <w:lid w:val="en-US"/>
            <w:storeMappedDataAs w:val="dateTime"/>
            <w:calendar w:val="gregorian"/>
          </w:date>
        </w:sdtPr>
        <w:sdtContent>
          <w:tc>
            <w:tcPr>
              <w:tcW w:w="1105" w:type="dxa"/>
            </w:tcPr>
            <w:p w:rsidR="00B638DE" w:rsidRDefault="00B638DE" w:rsidP="00B638DE">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2019</w:t>
              </w:r>
            </w:p>
          </w:tc>
        </w:sdtContent>
      </w:sdt>
    </w:tr>
  </w:tbl>
  <w:p w:rsidR="00B638DE" w:rsidRDefault="00B638D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604034"/>
    <w:multiLevelType w:val="multilevel"/>
    <w:tmpl w:val="9FB2E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38DE"/>
    <w:rsid w:val="0003387E"/>
    <w:rsid w:val="000C3167"/>
    <w:rsid w:val="001A7791"/>
    <w:rsid w:val="001B6F91"/>
    <w:rsid w:val="004428E1"/>
    <w:rsid w:val="004C3ED4"/>
    <w:rsid w:val="00581198"/>
    <w:rsid w:val="00B638DE"/>
    <w:rsid w:val="00CC5D74"/>
    <w:rsid w:val="00E10A85"/>
    <w:rsid w:val="00F113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38DE"/>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38DE"/>
  </w:style>
  <w:style w:type="paragraph" w:styleId="Footer">
    <w:name w:val="footer"/>
    <w:basedOn w:val="Normal"/>
    <w:link w:val="FooterChar"/>
    <w:uiPriority w:val="99"/>
    <w:unhideWhenUsed/>
    <w:rsid w:val="00B638DE"/>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38DE"/>
  </w:style>
  <w:style w:type="paragraph" w:styleId="BalloonText">
    <w:name w:val="Balloon Text"/>
    <w:basedOn w:val="Normal"/>
    <w:link w:val="BalloonTextChar"/>
    <w:uiPriority w:val="99"/>
    <w:semiHidden/>
    <w:unhideWhenUsed/>
    <w:rsid w:val="00B638D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38DE"/>
    <w:rPr>
      <w:rFonts w:ascii="Tahoma" w:hAnsi="Tahoma" w:cs="Tahoma"/>
      <w:sz w:val="16"/>
      <w:szCs w:val="16"/>
    </w:rPr>
  </w:style>
  <w:style w:type="character" w:customStyle="1" w:styleId="ipa">
    <w:name w:val="ipa"/>
    <w:basedOn w:val="DefaultParagraphFont"/>
    <w:rsid w:val="001B6F91"/>
  </w:style>
  <w:style w:type="character" w:styleId="Hyperlink">
    <w:name w:val="Hyperlink"/>
    <w:basedOn w:val="DefaultParagraphFont"/>
    <w:uiPriority w:val="99"/>
    <w:semiHidden/>
    <w:unhideWhenUsed/>
    <w:rsid w:val="001B6F9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38DE"/>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38DE"/>
  </w:style>
  <w:style w:type="paragraph" w:styleId="Footer">
    <w:name w:val="footer"/>
    <w:basedOn w:val="Normal"/>
    <w:link w:val="FooterChar"/>
    <w:uiPriority w:val="99"/>
    <w:unhideWhenUsed/>
    <w:rsid w:val="00B638DE"/>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38DE"/>
  </w:style>
  <w:style w:type="paragraph" w:styleId="BalloonText">
    <w:name w:val="Balloon Text"/>
    <w:basedOn w:val="Normal"/>
    <w:link w:val="BalloonTextChar"/>
    <w:uiPriority w:val="99"/>
    <w:semiHidden/>
    <w:unhideWhenUsed/>
    <w:rsid w:val="00B638D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38DE"/>
    <w:rPr>
      <w:rFonts w:ascii="Tahoma" w:hAnsi="Tahoma" w:cs="Tahoma"/>
      <w:sz w:val="16"/>
      <w:szCs w:val="16"/>
    </w:rPr>
  </w:style>
  <w:style w:type="character" w:customStyle="1" w:styleId="ipa">
    <w:name w:val="ipa"/>
    <w:basedOn w:val="DefaultParagraphFont"/>
    <w:rsid w:val="001B6F91"/>
  </w:style>
  <w:style w:type="character" w:styleId="Hyperlink">
    <w:name w:val="Hyperlink"/>
    <w:basedOn w:val="DefaultParagraphFont"/>
    <w:uiPriority w:val="99"/>
    <w:semiHidden/>
    <w:unhideWhenUsed/>
    <w:rsid w:val="001B6F9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201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glossaryDocument" Target="glossary/document.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FEBBA74989AD435D90B8EAB3EBFFD8D8"/>
        <w:category>
          <w:name w:val="General"/>
          <w:gallery w:val="placeholder"/>
        </w:category>
        <w:types>
          <w:type w:val="bbPlcHdr"/>
        </w:types>
        <w:behaviors>
          <w:behavior w:val="content"/>
        </w:behaviors>
        <w:guid w:val="{85C9BE2D-FE3F-4794-B20D-59765E9766B1}"/>
      </w:docPartPr>
      <w:docPartBody>
        <w:p w:rsidR="00BE66C0" w:rsidRDefault="006925E5" w:rsidP="006925E5">
          <w:pPr>
            <w:pStyle w:val="FEBBA74989AD435D90B8EAB3EBFFD8D8"/>
          </w:pPr>
          <w:r>
            <w:rPr>
              <w:rFonts w:asciiTheme="majorHAnsi" w:eastAsiaTheme="majorEastAsia" w:hAnsiTheme="majorHAnsi" w:cstheme="majorBidi"/>
              <w:sz w:val="36"/>
              <w:szCs w:val="36"/>
            </w:rPr>
            <w:t>[Type the document title]</w:t>
          </w:r>
        </w:p>
      </w:docPartBody>
    </w:docPart>
    <w:docPart>
      <w:docPartPr>
        <w:name w:val="1C773138C4F3435DA027F7666E888947"/>
        <w:category>
          <w:name w:val="General"/>
          <w:gallery w:val="placeholder"/>
        </w:category>
        <w:types>
          <w:type w:val="bbPlcHdr"/>
        </w:types>
        <w:behaviors>
          <w:behavior w:val="content"/>
        </w:behaviors>
        <w:guid w:val="{E1D67B09-2865-4845-9A8F-9B1DD15EB3FD}"/>
      </w:docPartPr>
      <w:docPartBody>
        <w:p w:rsidR="00BE66C0" w:rsidRDefault="006925E5" w:rsidP="006925E5">
          <w:pPr>
            <w:pStyle w:val="1C773138C4F3435DA027F7666E888947"/>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25E5"/>
    <w:rsid w:val="006925E5"/>
    <w:rsid w:val="00BE66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EBBA74989AD435D90B8EAB3EBFFD8D8">
    <w:name w:val="FEBBA74989AD435D90B8EAB3EBFFD8D8"/>
    <w:rsid w:val="006925E5"/>
  </w:style>
  <w:style w:type="paragraph" w:customStyle="1" w:styleId="1C773138C4F3435DA027F7666E888947">
    <w:name w:val="1C773138C4F3435DA027F7666E888947"/>
    <w:rsid w:val="006925E5"/>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EBBA74989AD435D90B8EAB3EBFFD8D8">
    <w:name w:val="FEBBA74989AD435D90B8EAB3EBFFD8D8"/>
    <w:rsid w:val="006925E5"/>
  </w:style>
  <w:style w:type="paragraph" w:customStyle="1" w:styleId="1C773138C4F3435DA027F7666E888947">
    <w:name w:val="1C773138C4F3435DA027F7666E888947"/>
    <w:rsid w:val="006925E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2019</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1552</TotalTime>
  <Pages>4</Pages>
  <Words>1565</Words>
  <Characters>8926</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IB Psychology – Abnormal Psychology (AJW)</vt:lpstr>
    </vt:vector>
  </TitlesOfParts>
  <Company/>
  <LinksUpToDate>false</LinksUpToDate>
  <CharactersWithSpaces>10471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IB Psychology – Abnormal Psychology (AJW)</dc:title>
  <dc:creator>Amanda Wood (AJW)</dc:creator>
  <cp:lastModifiedBy>Amanda Wood (AJW)</cp:lastModifiedBy>
  <cp:revision>2</cp:revision>
  <dcterms:created xsi:type="dcterms:W3CDTF">2019-03-05T22:38:00Z</dcterms:created>
  <dcterms:modified xsi:type="dcterms:W3CDTF">2019-03-07T13:54:00Z</dcterms:modified>
</cp:coreProperties>
</file>