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4AD24E" w14:textId="77777777" w:rsidR="00A911B8" w:rsidRDefault="00F01193">
      <w:pPr>
        <w:rPr>
          <w:b/>
          <w:sz w:val="24"/>
          <w:szCs w:val="24"/>
        </w:rPr>
      </w:pPr>
      <w:r>
        <w:rPr>
          <w:b/>
          <w:sz w:val="24"/>
          <w:szCs w:val="24"/>
        </w:rPr>
        <w:t xml:space="preserve">Name: </w:t>
      </w:r>
      <w:r>
        <w:rPr>
          <w:rFonts w:ascii="Caveat" w:eastAsia="Caveat" w:hAnsi="Caveat" w:cs="Caveat"/>
          <w:sz w:val="36"/>
          <w:szCs w:val="36"/>
        </w:rPr>
        <w:t xml:space="preserve">Mandy </w:t>
      </w:r>
      <w:proofErr w:type="spellStart"/>
      <w:r>
        <w:rPr>
          <w:rFonts w:ascii="Caveat" w:eastAsia="Caveat" w:hAnsi="Caveat" w:cs="Caveat"/>
          <w:sz w:val="36"/>
          <w:szCs w:val="36"/>
        </w:rPr>
        <w:t>Woood</w:t>
      </w:r>
      <w:proofErr w:type="spellEnd"/>
    </w:p>
    <w:p w14:paraId="3F72D154" w14:textId="77777777" w:rsidR="00A911B8" w:rsidRDefault="00F01193">
      <w:pPr>
        <w:rPr>
          <w:rFonts w:ascii="Caveat" w:eastAsia="Caveat" w:hAnsi="Caveat" w:cs="Caveat"/>
          <w:sz w:val="36"/>
          <w:szCs w:val="36"/>
        </w:rPr>
      </w:pPr>
      <w:r>
        <w:rPr>
          <w:b/>
          <w:sz w:val="24"/>
          <w:szCs w:val="24"/>
        </w:rPr>
        <w:t xml:space="preserve">Marker: </w:t>
      </w:r>
    </w:p>
    <w:p w14:paraId="32D558EF" w14:textId="77777777" w:rsidR="00A911B8" w:rsidRDefault="00F01193">
      <w:pPr>
        <w:rPr>
          <w:rFonts w:ascii="Caveat" w:eastAsia="Caveat" w:hAnsi="Caveat" w:cs="Caveat"/>
          <w:sz w:val="36"/>
          <w:szCs w:val="36"/>
        </w:rPr>
      </w:pPr>
      <w:r>
        <w:rPr>
          <w:b/>
          <w:sz w:val="24"/>
          <w:szCs w:val="24"/>
        </w:rPr>
        <w:t xml:space="preserve">Date: </w:t>
      </w:r>
      <w:r>
        <w:rPr>
          <w:rFonts w:ascii="Caveat" w:eastAsia="Caveat" w:hAnsi="Caveat" w:cs="Caveat"/>
          <w:sz w:val="36"/>
          <w:szCs w:val="36"/>
        </w:rPr>
        <w:t>05.09.19</w:t>
      </w:r>
    </w:p>
    <w:p w14:paraId="3DC1A55C" w14:textId="77777777" w:rsidR="00A911B8" w:rsidRDefault="00F01193">
      <w:pPr>
        <w:ind w:right="-466"/>
        <w:rPr>
          <w:color w:val="000000"/>
        </w:rPr>
      </w:pPr>
      <w:r>
        <w:rPr>
          <w:b/>
          <w:sz w:val="24"/>
          <w:szCs w:val="24"/>
        </w:rPr>
        <w:t xml:space="preserve">Question: </w:t>
      </w:r>
      <w:r>
        <w:rPr>
          <w:rFonts w:ascii="Caveat" w:eastAsia="Caveat" w:hAnsi="Caveat" w:cs="Caveat"/>
          <w:sz w:val="36"/>
          <w:szCs w:val="36"/>
          <w:highlight w:val="green"/>
        </w:rPr>
        <w:t xml:space="preserve">Explain how </w:t>
      </w:r>
      <w:r>
        <w:rPr>
          <w:rFonts w:ascii="Caveat" w:eastAsia="Caveat" w:hAnsi="Caveat" w:cs="Caveat"/>
          <w:sz w:val="36"/>
          <w:szCs w:val="36"/>
          <w:highlight w:val="magenta"/>
        </w:rPr>
        <w:t>one</w:t>
      </w:r>
      <w:r>
        <w:rPr>
          <w:rFonts w:ascii="Caveat" w:eastAsia="Caveat" w:hAnsi="Caveat" w:cs="Caveat"/>
          <w:sz w:val="36"/>
          <w:szCs w:val="36"/>
        </w:rPr>
        <w:t xml:space="preserve"> </w:t>
      </w:r>
      <w:r>
        <w:rPr>
          <w:rFonts w:ascii="Caveat" w:eastAsia="Caveat" w:hAnsi="Caveat" w:cs="Caveat"/>
          <w:sz w:val="36"/>
          <w:szCs w:val="36"/>
          <w:highlight w:val="cyan"/>
        </w:rPr>
        <w:t>cultural dimension</w:t>
      </w:r>
      <w:r>
        <w:rPr>
          <w:rFonts w:ascii="Caveat" w:eastAsia="Caveat" w:hAnsi="Caveat" w:cs="Caveat"/>
          <w:sz w:val="36"/>
          <w:szCs w:val="36"/>
        </w:rPr>
        <w:t xml:space="preserve"> influences </w:t>
      </w:r>
      <w:r>
        <w:rPr>
          <w:rFonts w:ascii="Caveat" w:eastAsia="Caveat" w:hAnsi="Caveat" w:cs="Caveat"/>
          <w:sz w:val="36"/>
          <w:szCs w:val="36"/>
          <w:shd w:val="clear" w:color="auto" w:fill="4A86E8"/>
        </w:rPr>
        <w:t>behaviour</w:t>
      </w:r>
      <w:r>
        <w:rPr>
          <w:rFonts w:ascii="Caveat" w:eastAsia="Caveat" w:hAnsi="Caveat" w:cs="Caveat"/>
          <w:sz w:val="36"/>
          <w:szCs w:val="36"/>
        </w:rPr>
        <w:t xml:space="preserve"> with reference to o</w:t>
      </w:r>
      <w:r>
        <w:rPr>
          <w:rFonts w:ascii="Caveat" w:eastAsia="Caveat" w:hAnsi="Caveat" w:cs="Caveat"/>
          <w:sz w:val="36"/>
          <w:szCs w:val="36"/>
          <w:shd w:val="clear" w:color="auto" w:fill="4A86E8"/>
        </w:rPr>
        <w:t xml:space="preserve">ne relevant study. </w:t>
      </w:r>
      <w:r>
        <w:rPr>
          <w:rFonts w:ascii="Caveat" w:eastAsia="Caveat" w:hAnsi="Caveat" w:cs="Caveat"/>
          <w:sz w:val="36"/>
          <w:szCs w:val="36"/>
        </w:rPr>
        <w:t>[9] - 2019 TZ2</w:t>
      </w:r>
    </w:p>
    <w:tbl>
      <w:tblPr>
        <w:tblStyle w:val="a"/>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A911B8" w14:paraId="493F0C53" w14:textId="77777777">
        <w:tc>
          <w:tcPr>
            <w:tcW w:w="9016" w:type="dxa"/>
          </w:tcPr>
          <w:p w14:paraId="48F1A0C6" w14:textId="77777777" w:rsidR="00A911B8" w:rsidRDefault="00F01193">
            <w:pPr>
              <w:rPr>
                <w:b/>
                <w:sz w:val="24"/>
                <w:szCs w:val="24"/>
              </w:rPr>
            </w:pPr>
            <w:r>
              <w:rPr>
                <w:b/>
                <w:sz w:val="24"/>
                <w:szCs w:val="24"/>
              </w:rPr>
              <w:t>Mini-Intro – 50 words – 2 mins</w:t>
            </w:r>
          </w:p>
          <w:p w14:paraId="78B1AA69" w14:textId="77777777" w:rsidR="00A911B8" w:rsidRDefault="00A911B8">
            <w:pPr>
              <w:rPr>
                <w:i/>
                <w:sz w:val="24"/>
                <w:szCs w:val="24"/>
              </w:rPr>
            </w:pPr>
          </w:p>
          <w:p w14:paraId="52E38038" w14:textId="77777777" w:rsidR="00A911B8" w:rsidRDefault="00F01193">
            <w:pPr>
              <w:shd w:val="clear" w:color="auto" w:fill="FFFFFF"/>
              <w:spacing w:line="264" w:lineRule="auto"/>
              <w:rPr>
                <w:rFonts w:ascii="Caveat" w:eastAsia="Caveat" w:hAnsi="Caveat" w:cs="Caveat"/>
                <w:sz w:val="36"/>
                <w:szCs w:val="36"/>
              </w:rPr>
            </w:pPr>
            <w:r>
              <w:rPr>
                <w:rFonts w:ascii="Caveat" w:eastAsia="Caveat" w:hAnsi="Caveat" w:cs="Caveat"/>
                <w:sz w:val="36"/>
                <w:szCs w:val="36"/>
              </w:rPr>
              <w:t xml:space="preserve">In this SAQ I will </w:t>
            </w:r>
            <w:r>
              <w:rPr>
                <w:rFonts w:ascii="Caveat" w:eastAsia="Caveat" w:hAnsi="Caveat" w:cs="Caveat"/>
                <w:sz w:val="36"/>
                <w:szCs w:val="36"/>
                <w:highlight w:val="green"/>
              </w:rPr>
              <w:t>explain</w:t>
            </w:r>
            <w:r>
              <w:rPr>
                <w:rFonts w:ascii="Caveat" w:eastAsia="Caveat" w:hAnsi="Caveat" w:cs="Caveat"/>
                <w:sz w:val="36"/>
                <w:szCs w:val="36"/>
              </w:rPr>
              <w:t xml:space="preserve"> </w:t>
            </w:r>
            <w:proofErr w:type="gramStart"/>
            <w:r>
              <w:rPr>
                <w:rFonts w:ascii="Caveat" w:eastAsia="Caveat" w:hAnsi="Caveat" w:cs="Caveat"/>
                <w:sz w:val="36"/>
                <w:szCs w:val="36"/>
              </w:rPr>
              <w:t xml:space="preserve">how  </w:t>
            </w:r>
            <w:r>
              <w:rPr>
                <w:rFonts w:ascii="Caveat" w:eastAsia="Caveat" w:hAnsi="Caveat" w:cs="Caveat"/>
                <w:sz w:val="36"/>
                <w:szCs w:val="36"/>
                <w:highlight w:val="cyan"/>
              </w:rPr>
              <w:t>individualism</w:t>
            </w:r>
            <w:proofErr w:type="gramEnd"/>
            <w:r>
              <w:rPr>
                <w:rFonts w:ascii="Caveat" w:eastAsia="Caveat" w:hAnsi="Caveat" w:cs="Caveat"/>
                <w:sz w:val="36"/>
                <w:szCs w:val="36"/>
                <w:highlight w:val="cyan"/>
              </w:rPr>
              <w:t>/collectivism</w:t>
            </w:r>
            <w:r>
              <w:rPr>
                <w:rFonts w:ascii="Caveat" w:eastAsia="Caveat" w:hAnsi="Caveat" w:cs="Caveat"/>
                <w:sz w:val="36"/>
                <w:szCs w:val="36"/>
              </w:rPr>
              <w:t xml:space="preserve"> can affect an </w:t>
            </w:r>
            <w:r>
              <w:rPr>
                <w:rFonts w:ascii="Caveat" w:eastAsia="Caveat" w:hAnsi="Caveat" w:cs="Caveat"/>
                <w:sz w:val="36"/>
                <w:szCs w:val="36"/>
                <w:shd w:val="clear" w:color="auto" w:fill="D5A6BD"/>
              </w:rPr>
              <w:t>individual’s</w:t>
            </w:r>
            <w:r>
              <w:rPr>
                <w:rFonts w:ascii="Caveat" w:eastAsia="Caveat" w:hAnsi="Caveat" w:cs="Caveat"/>
                <w:sz w:val="36"/>
                <w:szCs w:val="36"/>
              </w:rPr>
              <w:t xml:space="preserve"> level of </w:t>
            </w:r>
            <w:r>
              <w:rPr>
                <w:rFonts w:ascii="Caveat" w:eastAsia="Caveat" w:hAnsi="Caveat" w:cs="Caveat"/>
                <w:sz w:val="36"/>
                <w:szCs w:val="36"/>
                <w:shd w:val="clear" w:color="auto" w:fill="E06666"/>
              </w:rPr>
              <w:t>conformity</w:t>
            </w:r>
            <w:r>
              <w:rPr>
                <w:rFonts w:ascii="Caveat" w:eastAsia="Caveat" w:hAnsi="Caveat" w:cs="Caveat"/>
                <w:sz w:val="36"/>
                <w:szCs w:val="36"/>
              </w:rPr>
              <w:t xml:space="preserve"> to perceived </w:t>
            </w:r>
            <w:r>
              <w:rPr>
                <w:rFonts w:ascii="Caveat" w:eastAsia="Caveat" w:hAnsi="Caveat" w:cs="Caveat"/>
                <w:sz w:val="36"/>
                <w:szCs w:val="36"/>
                <w:shd w:val="clear" w:color="auto" w:fill="C27BA0"/>
              </w:rPr>
              <w:t>group norms w</w:t>
            </w:r>
            <w:r>
              <w:rPr>
                <w:rFonts w:ascii="Caveat" w:eastAsia="Caveat" w:hAnsi="Caveat" w:cs="Caveat"/>
                <w:sz w:val="36"/>
                <w:szCs w:val="36"/>
              </w:rPr>
              <w:t xml:space="preserve">ith reference to </w:t>
            </w:r>
            <w:r>
              <w:rPr>
                <w:rFonts w:ascii="Caveat" w:eastAsia="Caveat" w:hAnsi="Caveat" w:cs="Caveat"/>
                <w:sz w:val="36"/>
                <w:szCs w:val="36"/>
                <w:shd w:val="clear" w:color="auto" w:fill="4A86E8"/>
              </w:rPr>
              <w:t xml:space="preserve">Berry’s (1967) </w:t>
            </w:r>
            <w:r>
              <w:rPr>
                <w:rFonts w:ascii="Caveat" w:eastAsia="Caveat" w:hAnsi="Caveat" w:cs="Caveat"/>
                <w:sz w:val="36"/>
                <w:szCs w:val="36"/>
              </w:rPr>
              <w:t>cross-cultural, quasi-experiment.</w:t>
            </w:r>
          </w:p>
          <w:p w14:paraId="7CBACAC4" w14:textId="77777777" w:rsidR="00A911B8" w:rsidRDefault="00A911B8">
            <w:pPr>
              <w:shd w:val="clear" w:color="auto" w:fill="FFFFFF"/>
              <w:spacing w:line="264" w:lineRule="auto"/>
              <w:rPr>
                <w:rFonts w:ascii="Arial" w:eastAsia="Arial" w:hAnsi="Arial" w:cs="Arial"/>
                <w:sz w:val="24"/>
                <w:szCs w:val="24"/>
              </w:rPr>
            </w:pPr>
          </w:p>
          <w:p w14:paraId="2501CD05" w14:textId="77777777" w:rsidR="00A911B8" w:rsidRDefault="00F01193">
            <w:pPr>
              <w:rPr>
                <w:rFonts w:ascii="Caveat" w:eastAsia="Caveat" w:hAnsi="Caveat" w:cs="Caveat"/>
                <w:i/>
                <w:sz w:val="36"/>
                <w:szCs w:val="36"/>
              </w:rPr>
            </w:pPr>
            <w:r>
              <w:rPr>
                <w:rFonts w:ascii="Caveat" w:eastAsia="Caveat" w:hAnsi="Caveat" w:cs="Caveat"/>
                <w:i/>
                <w:sz w:val="36"/>
                <w:szCs w:val="36"/>
              </w:rPr>
              <w:t xml:space="preserve">The concept of cultural dimensions was first proposed by Hofstede (1980) and refers to the values and beliefs that characterize one culture from another. </w:t>
            </w:r>
          </w:p>
          <w:p w14:paraId="5123108F" w14:textId="77777777" w:rsidR="00A911B8" w:rsidRDefault="00A911B8">
            <w:pPr>
              <w:rPr>
                <w:rFonts w:ascii="Caveat" w:eastAsia="Caveat" w:hAnsi="Caveat" w:cs="Caveat"/>
                <w:i/>
                <w:sz w:val="36"/>
                <w:szCs w:val="36"/>
                <w:highlight w:val="white"/>
              </w:rPr>
            </w:pPr>
          </w:p>
        </w:tc>
      </w:tr>
      <w:tr w:rsidR="00A911B8" w14:paraId="37161DBE" w14:textId="77777777">
        <w:tc>
          <w:tcPr>
            <w:tcW w:w="9016" w:type="dxa"/>
          </w:tcPr>
          <w:p w14:paraId="12C8A5D8" w14:textId="77777777" w:rsidR="00A911B8" w:rsidRDefault="00F01193">
            <w:pPr>
              <w:rPr>
                <w:b/>
                <w:sz w:val="24"/>
                <w:szCs w:val="24"/>
              </w:rPr>
            </w:pPr>
            <w:r>
              <w:rPr>
                <w:b/>
                <w:sz w:val="24"/>
                <w:szCs w:val="24"/>
              </w:rPr>
              <w:t xml:space="preserve">Description </w:t>
            </w:r>
            <w:r>
              <w:rPr>
                <w:b/>
              </w:rPr>
              <w:t xml:space="preserve">- </w:t>
            </w:r>
            <w:r>
              <w:rPr>
                <w:b/>
                <w:sz w:val="24"/>
                <w:szCs w:val="24"/>
              </w:rPr>
              <w:t xml:space="preserve">100 words as relevant to the question – 4 mins </w:t>
            </w:r>
          </w:p>
          <w:p w14:paraId="368F1334" w14:textId="77777777" w:rsidR="00A911B8" w:rsidRDefault="00A911B8">
            <w:pPr>
              <w:rPr>
                <w:sz w:val="24"/>
                <w:szCs w:val="24"/>
              </w:rPr>
            </w:pPr>
          </w:p>
          <w:p w14:paraId="29E09386" w14:textId="77777777" w:rsidR="00A911B8" w:rsidRDefault="00F01193">
            <w:pPr>
              <w:rPr>
                <w:sz w:val="24"/>
                <w:szCs w:val="24"/>
              </w:rPr>
            </w:pPr>
            <w:r>
              <w:rPr>
                <w:rFonts w:ascii="Caveat" w:eastAsia="Caveat" w:hAnsi="Caveat" w:cs="Caveat"/>
                <w:i/>
                <w:sz w:val="36"/>
                <w:szCs w:val="36"/>
              </w:rPr>
              <w:t>The individualism/collectivism conti</w:t>
            </w:r>
            <w:r>
              <w:rPr>
                <w:rFonts w:ascii="Caveat" w:eastAsia="Caveat" w:hAnsi="Caveat" w:cs="Caveat"/>
                <w:i/>
                <w:sz w:val="36"/>
                <w:szCs w:val="36"/>
              </w:rPr>
              <w:t xml:space="preserve">nuum refers to the extent to which the individuals’ needs, identity and rights are valued over those of the group. Individualist societies tend to be loosely knit as </w:t>
            </w:r>
            <w:r>
              <w:rPr>
                <w:rFonts w:ascii="Caveat" w:eastAsia="Caveat" w:hAnsi="Caveat" w:cs="Caveat"/>
                <w:i/>
                <w:sz w:val="36"/>
                <w:szCs w:val="36"/>
                <w:highlight w:val="white"/>
              </w:rPr>
              <w:t>people tend to take care of only themselves and their immediate families. Values include p</w:t>
            </w:r>
            <w:r>
              <w:rPr>
                <w:rFonts w:ascii="Caveat" w:eastAsia="Caveat" w:hAnsi="Caveat" w:cs="Caveat"/>
                <w:i/>
                <w:sz w:val="36"/>
                <w:szCs w:val="36"/>
                <w:highlight w:val="white"/>
              </w:rPr>
              <w:t xml:space="preserve">ersonal autonomy, independence and </w:t>
            </w:r>
            <w:proofErr w:type="spellStart"/>
            <w:r>
              <w:rPr>
                <w:rFonts w:ascii="Caveat" w:eastAsia="Caveat" w:hAnsi="Caveat" w:cs="Caveat"/>
                <w:i/>
                <w:sz w:val="36"/>
                <w:szCs w:val="36"/>
                <w:highlight w:val="white"/>
              </w:rPr>
              <w:t>self efficacy</w:t>
            </w:r>
            <w:proofErr w:type="spellEnd"/>
            <w:r>
              <w:rPr>
                <w:rFonts w:ascii="Caveat" w:eastAsia="Caveat" w:hAnsi="Caveat" w:cs="Caveat"/>
                <w:i/>
                <w:sz w:val="36"/>
                <w:szCs w:val="36"/>
                <w:highlight w:val="white"/>
              </w:rPr>
              <w:t>, valuing ‘I’ over’ we’.  In direct contrast, collectivist societies value the group over the individual (‘we’ not ‘I’) and communities are more tightly knit. Values include group harmony, face-saving and col</w:t>
            </w:r>
            <w:r>
              <w:rPr>
                <w:rFonts w:ascii="Caveat" w:eastAsia="Caveat" w:hAnsi="Caveat" w:cs="Caveat"/>
                <w:i/>
                <w:sz w:val="36"/>
                <w:szCs w:val="36"/>
                <w:highlight w:val="white"/>
              </w:rPr>
              <w:t>laborative spirit. They may show high levels of filial piety (obedience and conformity to parents) and unquestioning loyalty.</w:t>
            </w:r>
          </w:p>
          <w:p w14:paraId="27884928" w14:textId="77777777" w:rsidR="00A911B8" w:rsidRDefault="00A911B8">
            <w:pPr>
              <w:rPr>
                <w:b/>
                <w:sz w:val="24"/>
                <w:szCs w:val="24"/>
              </w:rPr>
            </w:pPr>
          </w:p>
          <w:p w14:paraId="326B5654" w14:textId="77777777" w:rsidR="00A911B8" w:rsidRDefault="00A911B8">
            <w:pPr>
              <w:rPr>
                <w:b/>
                <w:sz w:val="24"/>
                <w:szCs w:val="24"/>
              </w:rPr>
            </w:pPr>
          </w:p>
          <w:p w14:paraId="5ADBA357" w14:textId="77777777" w:rsidR="00A911B8" w:rsidRDefault="00A911B8">
            <w:pPr>
              <w:rPr>
                <w:b/>
                <w:sz w:val="24"/>
                <w:szCs w:val="24"/>
              </w:rPr>
            </w:pPr>
          </w:p>
        </w:tc>
      </w:tr>
      <w:tr w:rsidR="00A911B8" w14:paraId="619DF611" w14:textId="77777777">
        <w:tc>
          <w:tcPr>
            <w:tcW w:w="9016" w:type="dxa"/>
          </w:tcPr>
          <w:p w14:paraId="667FD365" w14:textId="77777777" w:rsidR="00A911B8" w:rsidRDefault="00F01193">
            <w:pPr>
              <w:rPr>
                <w:b/>
                <w:sz w:val="24"/>
                <w:szCs w:val="24"/>
              </w:rPr>
            </w:pPr>
            <w:r>
              <w:rPr>
                <w:b/>
                <w:sz w:val="24"/>
                <w:szCs w:val="24"/>
              </w:rPr>
              <w:lastRenderedPageBreak/>
              <w:t xml:space="preserve">Description </w:t>
            </w:r>
            <w:r>
              <w:rPr>
                <w:b/>
              </w:rPr>
              <w:t xml:space="preserve">- </w:t>
            </w:r>
            <w:r>
              <w:rPr>
                <w:b/>
                <w:sz w:val="24"/>
                <w:szCs w:val="24"/>
              </w:rPr>
              <w:t>100 words about a relevant STUDY – 4 mins</w:t>
            </w:r>
          </w:p>
          <w:p w14:paraId="50DDAD92" w14:textId="77777777" w:rsidR="00A911B8" w:rsidRDefault="00F01193">
            <w:pPr>
              <w:rPr>
                <w:b/>
                <w:sz w:val="24"/>
                <w:szCs w:val="24"/>
              </w:rPr>
            </w:pPr>
            <w:r>
              <w:rPr>
                <w:b/>
                <w:sz w:val="24"/>
                <w:szCs w:val="24"/>
              </w:rPr>
              <w:t>Be sure to cover A P F C (aim, procedure, findings and conclusion)</w:t>
            </w:r>
          </w:p>
          <w:p w14:paraId="635898BF" w14:textId="77777777" w:rsidR="00A911B8" w:rsidRDefault="00A911B8">
            <w:pPr>
              <w:rPr>
                <w:b/>
                <w:sz w:val="24"/>
                <w:szCs w:val="24"/>
              </w:rPr>
            </w:pPr>
          </w:p>
          <w:p w14:paraId="58E8C801" w14:textId="451914E9" w:rsidR="00A911B8" w:rsidRDefault="00F01193">
            <w:pPr>
              <w:rPr>
                <w:rFonts w:ascii="Caveat" w:eastAsia="Caveat" w:hAnsi="Caveat" w:cs="Caveat"/>
                <w:i/>
                <w:sz w:val="36"/>
                <w:szCs w:val="36"/>
              </w:rPr>
            </w:pPr>
            <w:r>
              <w:rPr>
                <w:rFonts w:ascii="Caveat" w:eastAsia="Caveat" w:hAnsi="Caveat" w:cs="Caveat"/>
                <w:i/>
                <w:sz w:val="36"/>
                <w:szCs w:val="36"/>
                <w:highlight w:val="white"/>
              </w:rPr>
              <w:t>Berry’s (1967)</w:t>
            </w:r>
            <w:r w:rsidR="00444EEB">
              <w:rPr>
                <w:rFonts w:ascii="Caveat" w:eastAsia="Caveat" w:hAnsi="Caveat" w:cs="Caveat"/>
                <w:i/>
                <w:sz w:val="36"/>
                <w:szCs w:val="36"/>
                <w:highlight w:val="white"/>
              </w:rPr>
              <w:t xml:space="preserve"> </w:t>
            </w:r>
            <w:r>
              <w:rPr>
                <w:rFonts w:ascii="Caveat" w:eastAsia="Caveat" w:hAnsi="Caveat" w:cs="Caveat"/>
                <w:i/>
                <w:sz w:val="36"/>
                <w:szCs w:val="36"/>
                <w:highlight w:val="white"/>
              </w:rPr>
              <w:t xml:space="preserve">quasi-experiment comprised three groups from the Temne of Sierre Leone, the Inuits of Baffin Island and the Scottish. </w:t>
            </w:r>
            <w:r>
              <w:rPr>
                <w:rFonts w:ascii="Caveat" w:eastAsia="Caveat" w:hAnsi="Caveat" w:cs="Caveat"/>
                <w:i/>
                <w:sz w:val="36"/>
                <w:szCs w:val="36"/>
              </w:rPr>
              <w:t>Some of each group were called ‘in transition because t</w:t>
            </w:r>
            <w:r>
              <w:rPr>
                <w:rFonts w:ascii="Caveat" w:eastAsia="Caveat" w:hAnsi="Caveat" w:cs="Caveat"/>
                <w:i/>
                <w:sz w:val="36"/>
                <w:szCs w:val="36"/>
              </w:rPr>
              <w:t>hey had received a Western education or were in</w:t>
            </w:r>
            <w:r w:rsidR="00444EEB">
              <w:rPr>
                <w:rFonts w:ascii="Caveat" w:eastAsia="Caveat" w:hAnsi="Caveat" w:cs="Caveat"/>
                <w:i/>
                <w:sz w:val="36"/>
                <w:szCs w:val="36"/>
              </w:rPr>
              <w:t xml:space="preserve"> </w:t>
            </w:r>
            <w:r>
              <w:rPr>
                <w:rFonts w:ascii="Caveat" w:eastAsia="Caveat" w:hAnsi="Caveat" w:cs="Caveat"/>
                <w:i/>
                <w:sz w:val="36"/>
                <w:szCs w:val="36"/>
              </w:rPr>
              <w:t>Western style employment. Individually, participants were shown sets of 9 lines and asked which one most closely matched the target line at the top. Two practice trials ensured understanding and instructions w</w:t>
            </w:r>
            <w:r>
              <w:rPr>
                <w:rFonts w:ascii="Caveat" w:eastAsia="Caveat" w:hAnsi="Caveat" w:cs="Caveat"/>
                <w:i/>
                <w:sz w:val="36"/>
                <w:szCs w:val="36"/>
              </w:rPr>
              <w:t xml:space="preserve">ere in the participants’ native language. Next, the researchers read the instructions but added “Most Temne /Inuit /Scottish people say this line (whilst pointing to a designated line) is equal in length to the one at the top. Which one do you say?’ </w:t>
            </w:r>
          </w:p>
          <w:p w14:paraId="754DA86D" w14:textId="77777777" w:rsidR="00A911B8" w:rsidRDefault="00A911B8">
            <w:pPr>
              <w:rPr>
                <w:rFonts w:ascii="Caveat" w:eastAsia="Caveat" w:hAnsi="Caveat" w:cs="Caveat"/>
                <w:i/>
                <w:sz w:val="36"/>
                <w:szCs w:val="36"/>
              </w:rPr>
            </w:pPr>
          </w:p>
          <w:p w14:paraId="3F43442D" w14:textId="77777777" w:rsidR="00A911B8" w:rsidRDefault="00F01193">
            <w:pPr>
              <w:rPr>
                <w:rFonts w:ascii="Caveat" w:eastAsia="Caveat" w:hAnsi="Caveat" w:cs="Caveat"/>
                <w:sz w:val="36"/>
                <w:szCs w:val="36"/>
              </w:rPr>
            </w:pPr>
            <w:r>
              <w:rPr>
                <w:rFonts w:ascii="Caveat" w:eastAsia="Caveat" w:hAnsi="Caveat" w:cs="Caveat"/>
                <w:i/>
                <w:sz w:val="36"/>
                <w:szCs w:val="36"/>
              </w:rPr>
              <w:t>Twice the researcher pointed to the correct line, but on the remaining ‘critical trials’ a wrong answer was given to measure the extent to which the participant would conform with what they believed was the majority opinion within their culture. The depend</w:t>
            </w:r>
            <w:r>
              <w:rPr>
                <w:rFonts w:ascii="Caveat" w:eastAsia="Caveat" w:hAnsi="Caveat" w:cs="Caveat"/>
                <w:i/>
                <w:sz w:val="36"/>
                <w:szCs w:val="36"/>
              </w:rPr>
              <w:t>ent variable w</w:t>
            </w:r>
            <w:r>
              <w:rPr>
                <w:rFonts w:ascii="Caveat" w:eastAsia="Caveat" w:hAnsi="Caveat" w:cs="Caveat"/>
                <w:sz w:val="36"/>
                <w:szCs w:val="36"/>
              </w:rPr>
              <w:t xml:space="preserve">as the number of lines they were away from the correct line. </w:t>
            </w:r>
          </w:p>
          <w:p w14:paraId="129B3F74" w14:textId="77777777" w:rsidR="00A911B8" w:rsidRDefault="00A911B8">
            <w:pPr>
              <w:rPr>
                <w:rFonts w:ascii="Caveat" w:eastAsia="Caveat" w:hAnsi="Caveat" w:cs="Caveat"/>
                <w:sz w:val="36"/>
                <w:szCs w:val="36"/>
              </w:rPr>
            </w:pPr>
          </w:p>
          <w:p w14:paraId="68DDF518" w14:textId="6E4417C4" w:rsidR="00A911B8" w:rsidRDefault="00F01193">
            <w:pPr>
              <w:rPr>
                <w:rFonts w:ascii="Caveat" w:eastAsia="Caveat" w:hAnsi="Caveat" w:cs="Caveat"/>
                <w:sz w:val="36"/>
                <w:szCs w:val="36"/>
              </w:rPr>
            </w:pPr>
            <w:r>
              <w:rPr>
                <w:rFonts w:ascii="Caveat" w:eastAsia="Caveat" w:hAnsi="Caveat" w:cs="Caveat"/>
                <w:sz w:val="36"/>
                <w:szCs w:val="36"/>
              </w:rPr>
              <w:t>The results showed that the Temne conformed more than the Scots and the Scots conformed more than the Inuits. Exposure to Western values through education and employment seemed to</w:t>
            </w:r>
            <w:r>
              <w:rPr>
                <w:rFonts w:ascii="Caveat" w:eastAsia="Caveat" w:hAnsi="Caveat" w:cs="Caveat"/>
                <w:sz w:val="36"/>
                <w:szCs w:val="36"/>
              </w:rPr>
              <w:t xml:space="preserve"> have little bearing on behaviour </w:t>
            </w:r>
            <w:bookmarkStart w:id="0" w:name="_GoBack"/>
            <w:bookmarkEnd w:id="0"/>
            <w:r>
              <w:rPr>
                <w:rFonts w:ascii="Caveat" w:eastAsia="Caveat" w:hAnsi="Caveat" w:cs="Caveat"/>
                <w:sz w:val="36"/>
                <w:szCs w:val="36"/>
              </w:rPr>
              <w:t xml:space="preserve">as there were no significant within group differences in the transitional Temne or Inuits. </w:t>
            </w:r>
          </w:p>
          <w:p w14:paraId="26107D27" w14:textId="77777777" w:rsidR="00A911B8" w:rsidRDefault="00A911B8">
            <w:pPr>
              <w:rPr>
                <w:b/>
                <w:sz w:val="24"/>
                <w:szCs w:val="24"/>
              </w:rPr>
            </w:pPr>
          </w:p>
        </w:tc>
      </w:tr>
      <w:tr w:rsidR="00A911B8" w14:paraId="6C0DFF7A" w14:textId="77777777">
        <w:tc>
          <w:tcPr>
            <w:tcW w:w="9016" w:type="dxa"/>
          </w:tcPr>
          <w:p w14:paraId="03F5CD29" w14:textId="77777777" w:rsidR="00A911B8" w:rsidRDefault="00F01193">
            <w:pPr>
              <w:rPr>
                <w:b/>
              </w:rPr>
            </w:pPr>
            <w:r>
              <w:rPr>
                <w:b/>
                <w:sz w:val="24"/>
                <w:szCs w:val="24"/>
              </w:rPr>
              <w:t xml:space="preserve">The HOT SPOT </w:t>
            </w:r>
            <w:r>
              <w:rPr>
                <w:b/>
              </w:rPr>
              <w:t xml:space="preserve">- </w:t>
            </w:r>
            <w:r>
              <w:rPr>
                <w:b/>
                <w:sz w:val="24"/>
                <w:szCs w:val="24"/>
              </w:rPr>
              <w:t>100 words</w:t>
            </w:r>
            <w:r>
              <w:rPr>
                <w:b/>
              </w:rPr>
              <w:t xml:space="preserve"> – LINK the study to the Question asked, e.g. how does it explain this behaviour</w:t>
            </w:r>
          </w:p>
          <w:p w14:paraId="07CC4F5A" w14:textId="77777777" w:rsidR="00A911B8" w:rsidRDefault="00A911B8"/>
          <w:p w14:paraId="440CDEAD" w14:textId="77777777" w:rsidR="00A911B8" w:rsidRDefault="00F01193">
            <w:pPr>
              <w:rPr>
                <w:rFonts w:ascii="Caveat" w:eastAsia="Caveat" w:hAnsi="Caveat" w:cs="Caveat"/>
                <w:sz w:val="36"/>
                <w:szCs w:val="36"/>
                <w:highlight w:val="white"/>
              </w:rPr>
            </w:pPr>
            <w:r>
              <w:rPr>
                <w:rFonts w:ascii="Caveat" w:eastAsia="Caveat" w:hAnsi="Caveat" w:cs="Caveat"/>
                <w:sz w:val="36"/>
                <w:szCs w:val="36"/>
              </w:rPr>
              <w:t>The findings can be u</w:t>
            </w:r>
            <w:r>
              <w:rPr>
                <w:rFonts w:ascii="Caveat" w:eastAsia="Caveat" w:hAnsi="Caveat" w:cs="Caveat"/>
                <w:sz w:val="36"/>
                <w:szCs w:val="36"/>
              </w:rPr>
              <w:t xml:space="preserve">nderstood with reference to individualism/collectivism; as the Temne are a collectivist society, the </w:t>
            </w:r>
            <w:r>
              <w:rPr>
                <w:rFonts w:ascii="Caveat" w:eastAsia="Caveat" w:hAnsi="Caveat" w:cs="Caveat"/>
                <w:sz w:val="36"/>
                <w:szCs w:val="36"/>
                <w:highlight w:val="white"/>
              </w:rPr>
              <w:t>reminder of their cultural identity meant that they allowed the opinion of the group to sway their judgement more than the Scottish people, who are more in</w:t>
            </w:r>
            <w:r>
              <w:rPr>
                <w:rFonts w:ascii="Caveat" w:eastAsia="Caveat" w:hAnsi="Caveat" w:cs="Caveat"/>
                <w:sz w:val="36"/>
                <w:szCs w:val="36"/>
                <w:highlight w:val="white"/>
              </w:rPr>
              <w:t>dividualist. This is because this agricultural rice-farming community survive by working together as tightly knit groups, valuing group harmony in order to work effectively and productively with each other.  The Inuits on the other are more solitary, hunti</w:t>
            </w:r>
            <w:r>
              <w:rPr>
                <w:rFonts w:ascii="Caveat" w:eastAsia="Caveat" w:hAnsi="Caveat" w:cs="Caveat"/>
                <w:sz w:val="36"/>
                <w:szCs w:val="36"/>
                <w:highlight w:val="white"/>
              </w:rPr>
              <w:t>ng and fishing on their own to survive and relying solely on personal judgement; this difference meant that the value placed on self-reliance overshadowed the researcher’s attempt to elicit conformity from them.</w:t>
            </w:r>
          </w:p>
          <w:p w14:paraId="3CC7686B" w14:textId="77777777" w:rsidR="00A911B8" w:rsidRDefault="00A911B8">
            <w:pPr>
              <w:rPr>
                <w:rFonts w:ascii="Caveat" w:eastAsia="Caveat" w:hAnsi="Caveat" w:cs="Caveat"/>
                <w:sz w:val="36"/>
                <w:szCs w:val="36"/>
                <w:highlight w:val="white"/>
              </w:rPr>
            </w:pPr>
          </w:p>
          <w:p w14:paraId="48FD94FB" w14:textId="77777777" w:rsidR="00A911B8" w:rsidRDefault="00F01193">
            <w:pPr>
              <w:rPr>
                <w:rFonts w:ascii="Caveat" w:eastAsia="Caveat" w:hAnsi="Caveat" w:cs="Caveat"/>
                <w:sz w:val="36"/>
                <w:szCs w:val="36"/>
              </w:rPr>
            </w:pPr>
            <w:r>
              <w:rPr>
                <w:rFonts w:ascii="Caveat" w:eastAsia="Caveat" w:hAnsi="Caveat" w:cs="Caveat"/>
                <w:sz w:val="36"/>
                <w:szCs w:val="36"/>
              </w:rPr>
              <w:t>This study illustrates that differing cultu</w:t>
            </w:r>
            <w:r>
              <w:rPr>
                <w:rFonts w:ascii="Caveat" w:eastAsia="Caveat" w:hAnsi="Caveat" w:cs="Caveat"/>
                <w:sz w:val="36"/>
                <w:szCs w:val="36"/>
              </w:rPr>
              <w:t>ral values affect behaviour and judgements; collectivism leading to greater conformity than individualism and this suggests that an awareness of such differences may be helpful when working with people from cultures other than one's own.</w:t>
            </w:r>
          </w:p>
          <w:p w14:paraId="43493F4B" w14:textId="77777777" w:rsidR="00A911B8" w:rsidRDefault="00A911B8"/>
        </w:tc>
      </w:tr>
    </w:tbl>
    <w:p w14:paraId="700EE65A" w14:textId="77777777" w:rsidR="00A911B8" w:rsidRDefault="00A911B8">
      <w:pPr>
        <w:rPr>
          <w:b/>
          <w:sz w:val="24"/>
          <w:szCs w:val="24"/>
        </w:rPr>
      </w:pPr>
    </w:p>
    <w:p w14:paraId="06A7EE6E" w14:textId="77777777" w:rsidR="00A911B8" w:rsidRDefault="00F01193">
      <w:pPr>
        <w:rPr>
          <w:b/>
          <w:sz w:val="24"/>
          <w:szCs w:val="24"/>
        </w:rPr>
      </w:pPr>
      <w:r>
        <w:rPr>
          <w:b/>
          <w:sz w:val="24"/>
          <w:szCs w:val="24"/>
        </w:rPr>
        <w:t>Here are the SA</w:t>
      </w:r>
      <w:r>
        <w:rPr>
          <w:b/>
          <w:sz w:val="24"/>
          <w:szCs w:val="24"/>
        </w:rPr>
        <w:t>Q mark bands broken down to make them clearer</w:t>
      </w:r>
    </w:p>
    <w:tbl>
      <w:tblPr>
        <w:tblStyle w:val="a0"/>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63"/>
        <w:gridCol w:w="2758"/>
        <w:gridCol w:w="2643"/>
        <w:gridCol w:w="2252"/>
      </w:tblGrid>
      <w:tr w:rsidR="00A911B8" w14:paraId="0C8A7F16" w14:textId="77777777">
        <w:tc>
          <w:tcPr>
            <w:tcW w:w="1363" w:type="dxa"/>
            <w:vMerge w:val="restart"/>
          </w:tcPr>
          <w:p w14:paraId="73729C71" w14:textId="77777777" w:rsidR="00A911B8" w:rsidRDefault="00F01193">
            <w:pPr>
              <w:rPr>
                <w:b/>
                <w:sz w:val="16"/>
                <w:szCs w:val="16"/>
              </w:rPr>
            </w:pPr>
            <w:proofErr w:type="spellStart"/>
            <w:r>
              <w:rPr>
                <w:b/>
                <w:sz w:val="16"/>
                <w:szCs w:val="16"/>
              </w:rPr>
              <w:t>Markband</w:t>
            </w:r>
            <w:proofErr w:type="spellEnd"/>
          </w:p>
        </w:tc>
        <w:tc>
          <w:tcPr>
            <w:tcW w:w="7653" w:type="dxa"/>
            <w:gridSpan w:val="3"/>
          </w:tcPr>
          <w:p w14:paraId="0EE89AE2" w14:textId="77777777" w:rsidR="00A911B8" w:rsidRDefault="00F01193">
            <w:pPr>
              <w:rPr>
                <w:sz w:val="16"/>
                <w:szCs w:val="16"/>
              </w:rPr>
            </w:pPr>
            <w:r>
              <w:rPr>
                <w:b/>
                <w:sz w:val="16"/>
                <w:szCs w:val="16"/>
              </w:rPr>
              <w:t>Level descriptors</w:t>
            </w:r>
          </w:p>
        </w:tc>
      </w:tr>
      <w:tr w:rsidR="00A911B8" w14:paraId="3CD8C6A2" w14:textId="77777777">
        <w:tc>
          <w:tcPr>
            <w:tcW w:w="1363" w:type="dxa"/>
            <w:vMerge/>
          </w:tcPr>
          <w:p w14:paraId="383A1E33" w14:textId="77777777" w:rsidR="00A911B8" w:rsidRDefault="00A911B8">
            <w:pPr>
              <w:widowControl w:val="0"/>
              <w:pBdr>
                <w:top w:val="nil"/>
                <w:left w:val="nil"/>
                <w:bottom w:val="nil"/>
                <w:right w:val="nil"/>
                <w:between w:val="nil"/>
              </w:pBdr>
              <w:spacing w:line="276" w:lineRule="auto"/>
              <w:rPr>
                <w:sz w:val="16"/>
                <w:szCs w:val="16"/>
              </w:rPr>
            </w:pPr>
          </w:p>
        </w:tc>
        <w:tc>
          <w:tcPr>
            <w:tcW w:w="2758" w:type="dxa"/>
          </w:tcPr>
          <w:p w14:paraId="28A54EA4" w14:textId="77777777" w:rsidR="00A911B8" w:rsidRDefault="00F01193">
            <w:pPr>
              <w:rPr>
                <w:b/>
                <w:sz w:val="16"/>
                <w:szCs w:val="16"/>
              </w:rPr>
            </w:pPr>
            <w:r>
              <w:rPr>
                <w:b/>
                <w:sz w:val="16"/>
                <w:szCs w:val="16"/>
              </w:rPr>
              <w:t xml:space="preserve">Focus and relevance </w:t>
            </w:r>
          </w:p>
        </w:tc>
        <w:tc>
          <w:tcPr>
            <w:tcW w:w="2643" w:type="dxa"/>
          </w:tcPr>
          <w:p w14:paraId="68C6A153" w14:textId="77777777" w:rsidR="00A911B8" w:rsidRDefault="00F01193">
            <w:pPr>
              <w:rPr>
                <w:b/>
                <w:sz w:val="16"/>
                <w:szCs w:val="16"/>
              </w:rPr>
            </w:pPr>
            <w:r>
              <w:rPr>
                <w:b/>
                <w:sz w:val="16"/>
                <w:szCs w:val="16"/>
              </w:rPr>
              <w:t>Accuracy and depth of knowledge and understanding</w:t>
            </w:r>
          </w:p>
        </w:tc>
        <w:tc>
          <w:tcPr>
            <w:tcW w:w="2252" w:type="dxa"/>
          </w:tcPr>
          <w:p w14:paraId="2727CC63" w14:textId="77777777" w:rsidR="00A911B8" w:rsidRDefault="00F01193">
            <w:pPr>
              <w:rPr>
                <w:b/>
                <w:sz w:val="16"/>
                <w:szCs w:val="16"/>
              </w:rPr>
            </w:pPr>
            <w:r>
              <w:rPr>
                <w:b/>
                <w:sz w:val="16"/>
                <w:szCs w:val="16"/>
              </w:rPr>
              <w:t xml:space="preserve">Effective use of appropriate research evidence </w:t>
            </w:r>
          </w:p>
        </w:tc>
      </w:tr>
      <w:tr w:rsidR="00A911B8" w14:paraId="200484C8" w14:textId="77777777">
        <w:tc>
          <w:tcPr>
            <w:tcW w:w="1363" w:type="dxa"/>
          </w:tcPr>
          <w:p w14:paraId="6349186E" w14:textId="77777777" w:rsidR="00A911B8" w:rsidRDefault="00F01193">
            <w:pPr>
              <w:rPr>
                <w:sz w:val="16"/>
                <w:szCs w:val="16"/>
              </w:rPr>
            </w:pPr>
            <w:r>
              <w:rPr>
                <w:sz w:val="16"/>
                <w:szCs w:val="16"/>
              </w:rPr>
              <w:t>0</w:t>
            </w:r>
          </w:p>
        </w:tc>
        <w:tc>
          <w:tcPr>
            <w:tcW w:w="2758" w:type="dxa"/>
          </w:tcPr>
          <w:p w14:paraId="063B1D2A" w14:textId="77777777" w:rsidR="00A911B8" w:rsidRDefault="00F01193">
            <w:pPr>
              <w:rPr>
                <w:sz w:val="16"/>
                <w:szCs w:val="16"/>
              </w:rPr>
            </w:pPr>
            <w:r>
              <w:rPr>
                <w:sz w:val="16"/>
                <w:szCs w:val="16"/>
              </w:rPr>
              <w:t xml:space="preserve">The answer does not reach a standard described by the descriptors below. </w:t>
            </w:r>
          </w:p>
          <w:p w14:paraId="24DA88A2" w14:textId="77777777" w:rsidR="00A911B8" w:rsidRDefault="00A911B8">
            <w:pPr>
              <w:rPr>
                <w:sz w:val="16"/>
                <w:szCs w:val="16"/>
              </w:rPr>
            </w:pPr>
          </w:p>
        </w:tc>
        <w:tc>
          <w:tcPr>
            <w:tcW w:w="2643" w:type="dxa"/>
          </w:tcPr>
          <w:p w14:paraId="6EB8876A" w14:textId="77777777" w:rsidR="00A911B8" w:rsidRDefault="00A911B8">
            <w:pPr>
              <w:rPr>
                <w:sz w:val="16"/>
                <w:szCs w:val="16"/>
              </w:rPr>
            </w:pPr>
          </w:p>
        </w:tc>
        <w:tc>
          <w:tcPr>
            <w:tcW w:w="2252" w:type="dxa"/>
          </w:tcPr>
          <w:p w14:paraId="382FE22C" w14:textId="77777777" w:rsidR="00A911B8" w:rsidRDefault="00A911B8">
            <w:pPr>
              <w:rPr>
                <w:sz w:val="16"/>
                <w:szCs w:val="16"/>
              </w:rPr>
            </w:pPr>
          </w:p>
        </w:tc>
      </w:tr>
      <w:tr w:rsidR="00A911B8" w14:paraId="5F1DCA36" w14:textId="77777777">
        <w:tc>
          <w:tcPr>
            <w:tcW w:w="1363" w:type="dxa"/>
          </w:tcPr>
          <w:p w14:paraId="6866BB7B" w14:textId="77777777" w:rsidR="00A911B8" w:rsidRDefault="00F01193">
            <w:pPr>
              <w:rPr>
                <w:sz w:val="16"/>
                <w:szCs w:val="16"/>
              </w:rPr>
            </w:pPr>
            <w:r>
              <w:rPr>
                <w:sz w:val="16"/>
                <w:szCs w:val="16"/>
              </w:rPr>
              <w:t>1–3</w:t>
            </w:r>
          </w:p>
        </w:tc>
        <w:tc>
          <w:tcPr>
            <w:tcW w:w="2758" w:type="dxa"/>
          </w:tcPr>
          <w:p w14:paraId="48333AD2" w14:textId="77777777" w:rsidR="00A911B8" w:rsidRDefault="00F01193">
            <w:pPr>
              <w:rPr>
                <w:sz w:val="16"/>
                <w:szCs w:val="16"/>
              </w:rPr>
            </w:pPr>
            <w:r>
              <w:rPr>
                <w:sz w:val="16"/>
                <w:szCs w:val="16"/>
              </w:rPr>
              <w:t xml:space="preserve">The response is of limited relevance to or only rephrases the question. </w:t>
            </w:r>
          </w:p>
        </w:tc>
        <w:tc>
          <w:tcPr>
            <w:tcW w:w="2643" w:type="dxa"/>
          </w:tcPr>
          <w:p w14:paraId="70645BA9" w14:textId="77777777" w:rsidR="00A911B8" w:rsidRDefault="00F01193">
            <w:pPr>
              <w:rPr>
                <w:sz w:val="16"/>
                <w:szCs w:val="16"/>
              </w:rPr>
            </w:pPr>
            <w:r>
              <w:rPr>
                <w:sz w:val="16"/>
                <w:szCs w:val="16"/>
              </w:rPr>
              <w:t xml:space="preserve">Knowledge and understanding </w:t>
            </w:r>
            <w:proofErr w:type="gramStart"/>
            <w:r>
              <w:rPr>
                <w:sz w:val="16"/>
                <w:szCs w:val="16"/>
              </w:rPr>
              <w:t>is</w:t>
            </w:r>
            <w:proofErr w:type="gramEnd"/>
            <w:r>
              <w:rPr>
                <w:sz w:val="16"/>
                <w:szCs w:val="16"/>
              </w:rPr>
              <w:t xml:space="preserve"> mostly inaccurate or not relevant to the question.</w:t>
            </w:r>
          </w:p>
        </w:tc>
        <w:tc>
          <w:tcPr>
            <w:tcW w:w="2252" w:type="dxa"/>
          </w:tcPr>
          <w:p w14:paraId="551D4646" w14:textId="77777777" w:rsidR="00A911B8" w:rsidRDefault="00F01193">
            <w:pPr>
              <w:rPr>
                <w:sz w:val="16"/>
                <w:szCs w:val="16"/>
              </w:rPr>
            </w:pPr>
            <w:r>
              <w:rPr>
                <w:sz w:val="16"/>
                <w:szCs w:val="16"/>
              </w:rPr>
              <w:t>The research supporting the response is mostly not relevant to the question and if relevant only listed.</w:t>
            </w:r>
          </w:p>
        </w:tc>
      </w:tr>
      <w:tr w:rsidR="00A911B8" w14:paraId="0D134174" w14:textId="77777777">
        <w:tc>
          <w:tcPr>
            <w:tcW w:w="1363" w:type="dxa"/>
          </w:tcPr>
          <w:p w14:paraId="14E37135" w14:textId="77777777" w:rsidR="00A911B8" w:rsidRDefault="00F01193">
            <w:pPr>
              <w:rPr>
                <w:sz w:val="16"/>
                <w:szCs w:val="16"/>
              </w:rPr>
            </w:pPr>
            <w:r>
              <w:rPr>
                <w:sz w:val="16"/>
                <w:szCs w:val="16"/>
              </w:rPr>
              <w:t>4–6</w:t>
            </w:r>
          </w:p>
        </w:tc>
        <w:tc>
          <w:tcPr>
            <w:tcW w:w="2758" w:type="dxa"/>
          </w:tcPr>
          <w:p w14:paraId="747AADD5" w14:textId="77777777" w:rsidR="00A911B8" w:rsidRDefault="00F01193">
            <w:pPr>
              <w:rPr>
                <w:sz w:val="16"/>
                <w:szCs w:val="16"/>
              </w:rPr>
            </w:pPr>
            <w:r>
              <w:rPr>
                <w:sz w:val="16"/>
                <w:szCs w:val="16"/>
              </w:rPr>
              <w:t xml:space="preserve">The response is relevant to the question, but does not meet the command term requirements. </w:t>
            </w:r>
          </w:p>
        </w:tc>
        <w:tc>
          <w:tcPr>
            <w:tcW w:w="2643" w:type="dxa"/>
          </w:tcPr>
          <w:p w14:paraId="216BAB55" w14:textId="77777777" w:rsidR="00A911B8" w:rsidRDefault="00F01193">
            <w:pPr>
              <w:rPr>
                <w:sz w:val="16"/>
                <w:szCs w:val="16"/>
              </w:rPr>
            </w:pPr>
            <w:r>
              <w:rPr>
                <w:sz w:val="16"/>
                <w:szCs w:val="16"/>
              </w:rPr>
              <w:t xml:space="preserve">Knowledge and understanding </w:t>
            </w:r>
            <w:proofErr w:type="gramStart"/>
            <w:r>
              <w:rPr>
                <w:sz w:val="16"/>
                <w:szCs w:val="16"/>
              </w:rPr>
              <w:t>is</w:t>
            </w:r>
            <w:proofErr w:type="gramEnd"/>
            <w:r>
              <w:rPr>
                <w:sz w:val="16"/>
                <w:szCs w:val="16"/>
              </w:rPr>
              <w:t xml:space="preserve"> accurate but limited.</w:t>
            </w:r>
          </w:p>
        </w:tc>
        <w:tc>
          <w:tcPr>
            <w:tcW w:w="2252" w:type="dxa"/>
          </w:tcPr>
          <w:p w14:paraId="3A98A589" w14:textId="77777777" w:rsidR="00A911B8" w:rsidRDefault="00F01193">
            <w:pPr>
              <w:rPr>
                <w:sz w:val="16"/>
                <w:szCs w:val="16"/>
              </w:rPr>
            </w:pPr>
            <w:r>
              <w:rPr>
                <w:sz w:val="16"/>
                <w:szCs w:val="16"/>
              </w:rPr>
              <w:t>The response is supported by appropriate research which is described.</w:t>
            </w:r>
          </w:p>
        </w:tc>
      </w:tr>
      <w:tr w:rsidR="00A911B8" w14:paraId="4750F61C" w14:textId="77777777">
        <w:tc>
          <w:tcPr>
            <w:tcW w:w="1363" w:type="dxa"/>
          </w:tcPr>
          <w:p w14:paraId="36C2B9F6" w14:textId="77777777" w:rsidR="00A911B8" w:rsidRDefault="00F01193">
            <w:pPr>
              <w:rPr>
                <w:sz w:val="16"/>
                <w:szCs w:val="16"/>
              </w:rPr>
            </w:pPr>
            <w:r>
              <w:rPr>
                <w:sz w:val="16"/>
                <w:szCs w:val="16"/>
              </w:rPr>
              <w:t>7–9</w:t>
            </w:r>
          </w:p>
        </w:tc>
        <w:tc>
          <w:tcPr>
            <w:tcW w:w="2758" w:type="dxa"/>
          </w:tcPr>
          <w:p w14:paraId="6764DC65" w14:textId="77777777" w:rsidR="00A911B8" w:rsidRDefault="00F01193">
            <w:pPr>
              <w:rPr>
                <w:sz w:val="16"/>
                <w:szCs w:val="16"/>
              </w:rPr>
            </w:pPr>
            <w:r>
              <w:rPr>
                <w:sz w:val="16"/>
                <w:szCs w:val="16"/>
              </w:rPr>
              <w:t>The response is fully focused on the</w:t>
            </w:r>
            <w:r>
              <w:rPr>
                <w:sz w:val="16"/>
                <w:szCs w:val="16"/>
              </w:rPr>
              <w:t xml:space="preserve"> question and meets the command term requirements. </w:t>
            </w:r>
          </w:p>
          <w:p w14:paraId="2367FA37" w14:textId="77777777" w:rsidR="00A911B8" w:rsidRDefault="00A911B8">
            <w:pPr>
              <w:rPr>
                <w:sz w:val="16"/>
                <w:szCs w:val="16"/>
              </w:rPr>
            </w:pPr>
          </w:p>
        </w:tc>
        <w:tc>
          <w:tcPr>
            <w:tcW w:w="2643" w:type="dxa"/>
          </w:tcPr>
          <w:p w14:paraId="66F6DC8E" w14:textId="77777777" w:rsidR="00A911B8" w:rsidRDefault="00F01193">
            <w:pPr>
              <w:rPr>
                <w:sz w:val="16"/>
                <w:szCs w:val="16"/>
              </w:rPr>
            </w:pPr>
            <w:r>
              <w:rPr>
                <w:sz w:val="16"/>
                <w:szCs w:val="16"/>
              </w:rPr>
              <w:t xml:space="preserve">Knowledge and understanding </w:t>
            </w:r>
            <w:proofErr w:type="gramStart"/>
            <w:r>
              <w:rPr>
                <w:sz w:val="16"/>
                <w:szCs w:val="16"/>
              </w:rPr>
              <w:t>is</w:t>
            </w:r>
            <w:proofErr w:type="gramEnd"/>
            <w:r>
              <w:rPr>
                <w:sz w:val="16"/>
                <w:szCs w:val="16"/>
              </w:rPr>
              <w:t xml:space="preserve"> accurate and addresses the main topics/ problems identified in the question.</w:t>
            </w:r>
          </w:p>
        </w:tc>
        <w:tc>
          <w:tcPr>
            <w:tcW w:w="2252" w:type="dxa"/>
          </w:tcPr>
          <w:p w14:paraId="277825DA" w14:textId="77777777" w:rsidR="00A911B8" w:rsidRDefault="00F01193">
            <w:pPr>
              <w:rPr>
                <w:sz w:val="16"/>
                <w:szCs w:val="16"/>
              </w:rPr>
            </w:pPr>
            <w:r>
              <w:rPr>
                <w:sz w:val="16"/>
                <w:szCs w:val="16"/>
              </w:rPr>
              <w:t>The response is supported by appropriate research which is described and explicitly linked to t</w:t>
            </w:r>
            <w:r>
              <w:rPr>
                <w:sz w:val="16"/>
                <w:szCs w:val="16"/>
              </w:rPr>
              <w:t>he question.</w:t>
            </w:r>
          </w:p>
        </w:tc>
      </w:tr>
    </w:tbl>
    <w:p w14:paraId="07FE68D1" w14:textId="77777777" w:rsidR="00A911B8" w:rsidRDefault="00F01193">
      <w:r>
        <w:lastRenderedPageBreak/>
        <w:t xml:space="preserve"> </w:t>
      </w:r>
    </w:p>
    <w:p w14:paraId="4607C8D5" w14:textId="77777777" w:rsidR="00A911B8" w:rsidRDefault="00F01193">
      <w:pPr>
        <w:rPr>
          <w:sz w:val="24"/>
          <w:szCs w:val="24"/>
        </w:rPr>
      </w:pPr>
      <w:r>
        <w:rPr>
          <w:sz w:val="24"/>
          <w:szCs w:val="24"/>
        </w:rPr>
        <w:t>Your teacher or peer reviewer will be given you written feedback on your answer, your job is to place your answer in a mark band and complete the grid below with a sentence or so per box. This will help to ensure you have understood the fee</w:t>
      </w:r>
      <w:r>
        <w:rPr>
          <w:sz w:val="24"/>
          <w:szCs w:val="24"/>
        </w:rPr>
        <w:t xml:space="preserve">dback. If you don’t know what your reviewer means by </w:t>
      </w:r>
      <w:proofErr w:type="gramStart"/>
      <w:r>
        <w:rPr>
          <w:sz w:val="24"/>
          <w:szCs w:val="24"/>
        </w:rPr>
        <w:t>anything</w:t>
      </w:r>
      <w:proofErr w:type="gramEnd"/>
      <w:r>
        <w:rPr>
          <w:sz w:val="24"/>
          <w:szCs w:val="24"/>
        </w:rPr>
        <w:t xml:space="preserve"> they have said always ask </w:t>
      </w:r>
      <w:r>
        <w:rPr>
          <w:rFonts w:ascii="Quattrocento Sans" w:eastAsia="Quattrocento Sans" w:hAnsi="Quattrocento Sans" w:cs="Quattrocento Sans"/>
          <w:sz w:val="24"/>
          <w:szCs w:val="24"/>
        </w:rPr>
        <w:t>😊</w:t>
      </w:r>
      <w:r>
        <w:rPr>
          <w:sz w:val="24"/>
          <w:szCs w:val="24"/>
        </w:rPr>
        <w:t xml:space="preserve"> </w:t>
      </w:r>
    </w:p>
    <w:p w14:paraId="33B061FB" w14:textId="77777777" w:rsidR="00A911B8" w:rsidRDefault="00F01193">
      <w:pPr>
        <w:spacing w:after="0" w:line="240" w:lineRule="auto"/>
        <w:rPr>
          <w:b/>
          <w:color w:val="000000"/>
          <w:sz w:val="24"/>
          <w:szCs w:val="24"/>
        </w:rPr>
      </w:pPr>
      <w:r>
        <w:rPr>
          <w:rFonts w:ascii="Palatino Linotype" w:eastAsia="Palatino Linotype" w:hAnsi="Palatino Linotype" w:cs="Palatino Linotype"/>
          <w:b/>
          <w:color w:val="000000"/>
          <w:sz w:val="24"/>
          <w:szCs w:val="24"/>
        </w:rPr>
        <w:t>To be completed by the pupil</w:t>
      </w:r>
      <w:r>
        <w:rPr>
          <w:b/>
          <w:color w:val="000000"/>
          <w:sz w:val="24"/>
          <w:szCs w:val="24"/>
        </w:rPr>
        <w:t xml:space="preserve">: </w:t>
      </w:r>
    </w:p>
    <w:p w14:paraId="10ABA26B" w14:textId="77777777" w:rsidR="00A911B8" w:rsidRDefault="00A911B8">
      <w:pPr>
        <w:spacing w:after="0" w:line="240" w:lineRule="auto"/>
        <w:rPr>
          <w:b/>
          <w:color w:val="000000"/>
          <w:sz w:val="24"/>
          <w:szCs w:val="24"/>
        </w:rPr>
      </w:pPr>
    </w:p>
    <w:tbl>
      <w:tblPr>
        <w:tblStyle w:val="a1"/>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91"/>
        <w:gridCol w:w="2477"/>
        <w:gridCol w:w="2184"/>
        <w:gridCol w:w="2164"/>
      </w:tblGrid>
      <w:tr w:rsidR="00A911B8" w14:paraId="21EE1889" w14:textId="77777777">
        <w:tc>
          <w:tcPr>
            <w:tcW w:w="2191" w:type="dxa"/>
          </w:tcPr>
          <w:p w14:paraId="23829A3F" w14:textId="77777777" w:rsidR="00A911B8" w:rsidRDefault="00F01193">
            <w:pPr>
              <w:rPr>
                <w:b/>
                <w:color w:val="000000"/>
                <w:sz w:val="24"/>
                <w:szCs w:val="24"/>
              </w:rPr>
            </w:pPr>
            <w:r>
              <w:rPr>
                <w:b/>
                <w:color w:val="000000"/>
                <w:sz w:val="24"/>
                <w:szCs w:val="24"/>
              </w:rPr>
              <w:t>Total mark (9)</w:t>
            </w:r>
          </w:p>
        </w:tc>
        <w:tc>
          <w:tcPr>
            <w:tcW w:w="2477" w:type="dxa"/>
          </w:tcPr>
          <w:p w14:paraId="64641F47" w14:textId="77777777" w:rsidR="00A911B8" w:rsidRDefault="00A911B8">
            <w:pPr>
              <w:rPr>
                <w:b/>
                <w:color w:val="000000"/>
                <w:sz w:val="24"/>
                <w:szCs w:val="24"/>
                <w:highlight w:val="green"/>
              </w:rPr>
            </w:pPr>
          </w:p>
        </w:tc>
        <w:tc>
          <w:tcPr>
            <w:tcW w:w="2184" w:type="dxa"/>
          </w:tcPr>
          <w:p w14:paraId="7010D011" w14:textId="77777777" w:rsidR="00A911B8" w:rsidRDefault="00F01193">
            <w:pPr>
              <w:rPr>
                <w:b/>
                <w:color w:val="000000"/>
                <w:sz w:val="24"/>
                <w:szCs w:val="24"/>
              </w:rPr>
            </w:pPr>
            <w:r>
              <w:rPr>
                <w:b/>
                <w:color w:val="000000"/>
                <w:sz w:val="24"/>
                <w:szCs w:val="24"/>
              </w:rPr>
              <w:t>Grade (1-7)</w:t>
            </w:r>
          </w:p>
        </w:tc>
        <w:tc>
          <w:tcPr>
            <w:tcW w:w="2164" w:type="dxa"/>
          </w:tcPr>
          <w:p w14:paraId="500AFDE2" w14:textId="77777777" w:rsidR="00A911B8" w:rsidRDefault="00A911B8">
            <w:pPr>
              <w:rPr>
                <w:b/>
                <w:color w:val="000000"/>
                <w:sz w:val="24"/>
                <w:szCs w:val="24"/>
              </w:rPr>
            </w:pPr>
          </w:p>
          <w:p w14:paraId="50BA9B8C" w14:textId="77777777" w:rsidR="00A911B8" w:rsidRDefault="00A911B8">
            <w:pPr>
              <w:rPr>
                <w:b/>
                <w:color w:val="000000"/>
                <w:sz w:val="24"/>
                <w:szCs w:val="24"/>
              </w:rPr>
            </w:pPr>
          </w:p>
        </w:tc>
      </w:tr>
      <w:tr w:rsidR="00A911B8" w14:paraId="7CDCB6FA" w14:textId="77777777">
        <w:tc>
          <w:tcPr>
            <w:tcW w:w="2191" w:type="dxa"/>
          </w:tcPr>
          <w:p w14:paraId="46300EF8" w14:textId="77777777" w:rsidR="00A911B8" w:rsidRDefault="00F01193">
            <w:pPr>
              <w:rPr>
                <w:b/>
                <w:color w:val="000000"/>
                <w:sz w:val="24"/>
                <w:szCs w:val="24"/>
              </w:rPr>
            </w:pPr>
            <w:r>
              <w:rPr>
                <w:b/>
                <w:color w:val="000000"/>
                <w:sz w:val="24"/>
                <w:szCs w:val="24"/>
              </w:rPr>
              <w:t>What went well</w:t>
            </w:r>
          </w:p>
          <w:p w14:paraId="3CBB19B5" w14:textId="77777777" w:rsidR="00A911B8" w:rsidRDefault="00A911B8">
            <w:pPr>
              <w:rPr>
                <w:b/>
                <w:color w:val="000000"/>
                <w:sz w:val="24"/>
                <w:szCs w:val="24"/>
              </w:rPr>
            </w:pPr>
          </w:p>
          <w:p w14:paraId="70D617E2" w14:textId="77777777" w:rsidR="00A911B8" w:rsidRDefault="00A911B8">
            <w:pPr>
              <w:rPr>
                <w:b/>
                <w:color w:val="000000"/>
                <w:sz w:val="24"/>
                <w:szCs w:val="24"/>
              </w:rPr>
            </w:pPr>
          </w:p>
          <w:p w14:paraId="605F1EDA" w14:textId="77777777" w:rsidR="00A911B8" w:rsidRDefault="00A911B8">
            <w:pPr>
              <w:rPr>
                <w:b/>
                <w:color w:val="000000"/>
                <w:sz w:val="24"/>
                <w:szCs w:val="24"/>
              </w:rPr>
            </w:pPr>
          </w:p>
        </w:tc>
        <w:tc>
          <w:tcPr>
            <w:tcW w:w="6825" w:type="dxa"/>
            <w:gridSpan w:val="3"/>
          </w:tcPr>
          <w:p w14:paraId="3C2F84CF" w14:textId="77777777" w:rsidR="00A911B8" w:rsidRDefault="00A911B8">
            <w:pPr>
              <w:rPr>
                <w:b/>
                <w:color w:val="000000"/>
                <w:sz w:val="24"/>
                <w:szCs w:val="24"/>
              </w:rPr>
            </w:pPr>
          </w:p>
          <w:p w14:paraId="0606DD75" w14:textId="77777777" w:rsidR="00A911B8" w:rsidRDefault="00A911B8">
            <w:pPr>
              <w:rPr>
                <w:b/>
                <w:color w:val="000000"/>
                <w:sz w:val="24"/>
                <w:szCs w:val="24"/>
              </w:rPr>
            </w:pPr>
          </w:p>
          <w:p w14:paraId="506A8654" w14:textId="77777777" w:rsidR="00A911B8" w:rsidRDefault="00A911B8">
            <w:pPr>
              <w:rPr>
                <w:b/>
                <w:color w:val="000000"/>
                <w:sz w:val="24"/>
                <w:szCs w:val="24"/>
              </w:rPr>
            </w:pPr>
          </w:p>
          <w:p w14:paraId="21B02088" w14:textId="77777777" w:rsidR="00A911B8" w:rsidRDefault="00A911B8">
            <w:pPr>
              <w:rPr>
                <w:b/>
                <w:color w:val="000000"/>
                <w:sz w:val="24"/>
                <w:szCs w:val="24"/>
              </w:rPr>
            </w:pPr>
          </w:p>
        </w:tc>
      </w:tr>
      <w:tr w:rsidR="00A911B8" w14:paraId="0163894E" w14:textId="77777777">
        <w:tc>
          <w:tcPr>
            <w:tcW w:w="2191" w:type="dxa"/>
          </w:tcPr>
          <w:p w14:paraId="3A649027" w14:textId="77777777" w:rsidR="00A911B8" w:rsidRDefault="00F01193">
            <w:pPr>
              <w:rPr>
                <w:b/>
                <w:color w:val="000000"/>
                <w:sz w:val="24"/>
                <w:szCs w:val="24"/>
              </w:rPr>
            </w:pPr>
            <w:r>
              <w:rPr>
                <w:b/>
                <w:color w:val="000000"/>
                <w:sz w:val="24"/>
                <w:szCs w:val="24"/>
              </w:rPr>
              <w:t>Even better if</w:t>
            </w:r>
          </w:p>
          <w:p w14:paraId="3EFB0168" w14:textId="77777777" w:rsidR="00A911B8" w:rsidRDefault="00A911B8">
            <w:pPr>
              <w:rPr>
                <w:b/>
                <w:color w:val="000000"/>
                <w:sz w:val="24"/>
                <w:szCs w:val="24"/>
              </w:rPr>
            </w:pPr>
          </w:p>
          <w:p w14:paraId="3E71D96F" w14:textId="77777777" w:rsidR="00A911B8" w:rsidRDefault="00A911B8">
            <w:pPr>
              <w:rPr>
                <w:b/>
                <w:color w:val="000000"/>
                <w:sz w:val="24"/>
                <w:szCs w:val="24"/>
              </w:rPr>
            </w:pPr>
          </w:p>
          <w:p w14:paraId="30AF4B52" w14:textId="77777777" w:rsidR="00A911B8" w:rsidRDefault="00A911B8">
            <w:pPr>
              <w:rPr>
                <w:b/>
                <w:color w:val="000000"/>
                <w:sz w:val="24"/>
                <w:szCs w:val="24"/>
              </w:rPr>
            </w:pPr>
          </w:p>
        </w:tc>
        <w:tc>
          <w:tcPr>
            <w:tcW w:w="6825" w:type="dxa"/>
            <w:gridSpan w:val="3"/>
          </w:tcPr>
          <w:p w14:paraId="4FE95404" w14:textId="77777777" w:rsidR="00A911B8" w:rsidRDefault="00A911B8">
            <w:pPr>
              <w:rPr>
                <w:b/>
                <w:color w:val="000000"/>
                <w:sz w:val="24"/>
                <w:szCs w:val="24"/>
              </w:rPr>
            </w:pPr>
          </w:p>
          <w:p w14:paraId="45490561" w14:textId="77777777" w:rsidR="00A911B8" w:rsidRDefault="00A911B8">
            <w:pPr>
              <w:rPr>
                <w:b/>
                <w:color w:val="000000"/>
                <w:sz w:val="24"/>
                <w:szCs w:val="24"/>
              </w:rPr>
            </w:pPr>
          </w:p>
          <w:p w14:paraId="1D60319B" w14:textId="77777777" w:rsidR="00A911B8" w:rsidRDefault="00A911B8">
            <w:pPr>
              <w:rPr>
                <w:b/>
                <w:color w:val="000000"/>
                <w:sz w:val="24"/>
                <w:szCs w:val="24"/>
              </w:rPr>
            </w:pPr>
          </w:p>
          <w:p w14:paraId="0E5BD935" w14:textId="77777777" w:rsidR="00A911B8" w:rsidRDefault="00A911B8">
            <w:pPr>
              <w:rPr>
                <w:b/>
                <w:color w:val="000000"/>
                <w:sz w:val="24"/>
                <w:szCs w:val="24"/>
              </w:rPr>
            </w:pPr>
          </w:p>
          <w:p w14:paraId="74A88E2F" w14:textId="77777777" w:rsidR="00A911B8" w:rsidRDefault="00A911B8">
            <w:pPr>
              <w:rPr>
                <w:b/>
                <w:color w:val="000000"/>
                <w:sz w:val="24"/>
                <w:szCs w:val="24"/>
              </w:rPr>
            </w:pPr>
          </w:p>
        </w:tc>
      </w:tr>
      <w:tr w:rsidR="00A911B8" w14:paraId="03C9B9B5" w14:textId="77777777">
        <w:tc>
          <w:tcPr>
            <w:tcW w:w="2191" w:type="dxa"/>
          </w:tcPr>
          <w:p w14:paraId="62971BEC" w14:textId="77777777" w:rsidR="00A911B8" w:rsidRDefault="00F01193">
            <w:pPr>
              <w:rPr>
                <w:b/>
                <w:color w:val="000000"/>
                <w:sz w:val="24"/>
                <w:szCs w:val="24"/>
              </w:rPr>
            </w:pPr>
            <w:r>
              <w:rPr>
                <w:b/>
                <w:color w:val="000000"/>
                <w:sz w:val="24"/>
                <w:szCs w:val="24"/>
              </w:rPr>
              <w:t>DIRT</w:t>
            </w:r>
          </w:p>
          <w:p w14:paraId="5A171B7A" w14:textId="77777777" w:rsidR="00A911B8" w:rsidRDefault="00A911B8">
            <w:pPr>
              <w:rPr>
                <w:b/>
                <w:color w:val="000000"/>
                <w:sz w:val="24"/>
                <w:szCs w:val="24"/>
              </w:rPr>
            </w:pPr>
          </w:p>
          <w:p w14:paraId="43860E75" w14:textId="77777777" w:rsidR="00A911B8" w:rsidRDefault="00A911B8">
            <w:pPr>
              <w:rPr>
                <w:b/>
                <w:color w:val="000000"/>
                <w:sz w:val="24"/>
                <w:szCs w:val="24"/>
              </w:rPr>
            </w:pPr>
          </w:p>
          <w:p w14:paraId="08E57101" w14:textId="77777777" w:rsidR="00A911B8" w:rsidRDefault="00A911B8">
            <w:pPr>
              <w:rPr>
                <w:b/>
                <w:color w:val="000000"/>
                <w:sz w:val="24"/>
                <w:szCs w:val="24"/>
              </w:rPr>
            </w:pPr>
          </w:p>
        </w:tc>
        <w:tc>
          <w:tcPr>
            <w:tcW w:w="6825" w:type="dxa"/>
            <w:gridSpan w:val="3"/>
          </w:tcPr>
          <w:p w14:paraId="652CE650" w14:textId="77777777" w:rsidR="00A911B8" w:rsidRDefault="00A911B8">
            <w:pPr>
              <w:rPr>
                <w:b/>
                <w:color w:val="000000"/>
                <w:sz w:val="24"/>
                <w:szCs w:val="24"/>
              </w:rPr>
            </w:pPr>
          </w:p>
          <w:p w14:paraId="068C78B0" w14:textId="77777777" w:rsidR="00A911B8" w:rsidRDefault="00A911B8">
            <w:pPr>
              <w:rPr>
                <w:b/>
                <w:color w:val="000000"/>
                <w:sz w:val="24"/>
                <w:szCs w:val="24"/>
              </w:rPr>
            </w:pPr>
          </w:p>
          <w:p w14:paraId="55FEA172" w14:textId="77777777" w:rsidR="00A911B8" w:rsidRDefault="00A911B8">
            <w:pPr>
              <w:rPr>
                <w:b/>
                <w:color w:val="000000"/>
                <w:sz w:val="24"/>
                <w:szCs w:val="24"/>
              </w:rPr>
            </w:pPr>
          </w:p>
          <w:p w14:paraId="24848462" w14:textId="77777777" w:rsidR="00A911B8" w:rsidRDefault="00A911B8">
            <w:pPr>
              <w:rPr>
                <w:b/>
                <w:color w:val="000000"/>
                <w:sz w:val="24"/>
                <w:szCs w:val="24"/>
              </w:rPr>
            </w:pPr>
          </w:p>
          <w:p w14:paraId="0AD761A5" w14:textId="77777777" w:rsidR="00A911B8" w:rsidRDefault="00A911B8">
            <w:pPr>
              <w:rPr>
                <w:b/>
                <w:color w:val="000000"/>
                <w:sz w:val="24"/>
                <w:szCs w:val="24"/>
              </w:rPr>
            </w:pPr>
          </w:p>
        </w:tc>
      </w:tr>
    </w:tbl>
    <w:p w14:paraId="6CE60228" w14:textId="77777777" w:rsidR="00A911B8" w:rsidRDefault="00A911B8">
      <w:pPr>
        <w:rPr>
          <w:rFonts w:ascii="Palatino Linotype" w:eastAsia="Palatino Linotype" w:hAnsi="Palatino Linotype" w:cs="Palatino Linotype"/>
          <w:sz w:val="24"/>
          <w:szCs w:val="24"/>
        </w:rPr>
      </w:pPr>
    </w:p>
    <w:p w14:paraId="4EEDBB95" w14:textId="77777777" w:rsidR="00A911B8" w:rsidRDefault="00A911B8">
      <w:pPr>
        <w:rPr>
          <w:rFonts w:ascii="Palatino Linotype" w:eastAsia="Palatino Linotype" w:hAnsi="Palatino Linotype" w:cs="Palatino Linotype"/>
          <w:sz w:val="24"/>
          <w:szCs w:val="24"/>
        </w:rPr>
      </w:pPr>
    </w:p>
    <w:sectPr w:rsidR="00A911B8">
      <w:headerReference w:type="default" r:id="rId6"/>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E8E6F2" w14:textId="77777777" w:rsidR="00F01193" w:rsidRDefault="00F01193">
      <w:pPr>
        <w:spacing w:after="0" w:line="240" w:lineRule="auto"/>
      </w:pPr>
      <w:r>
        <w:separator/>
      </w:r>
    </w:p>
  </w:endnote>
  <w:endnote w:type="continuationSeparator" w:id="0">
    <w:p w14:paraId="232A8F14" w14:textId="77777777" w:rsidR="00F01193" w:rsidRDefault="00F011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veat">
    <w:charset w:val="00"/>
    <w:family w:val="auto"/>
    <w:pitch w:val="default"/>
  </w:font>
  <w:font w:name="Arial">
    <w:panose1 w:val="020B0604020202020204"/>
    <w:charset w:val="00"/>
    <w:family w:val="swiss"/>
    <w:pitch w:val="variable"/>
    <w:sig w:usb0="E0002EFF" w:usb1="C000785B" w:usb2="00000009" w:usb3="00000000" w:csb0="000001FF" w:csb1="00000000"/>
  </w:font>
  <w:font w:name="Quattrocento Sans">
    <w:charset w:val="00"/>
    <w:family w:val="auto"/>
    <w:pitch w:val="default"/>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6D75B4" w14:textId="77777777" w:rsidR="00F01193" w:rsidRDefault="00F01193">
      <w:pPr>
        <w:spacing w:after="0" w:line="240" w:lineRule="auto"/>
      </w:pPr>
      <w:r>
        <w:separator/>
      </w:r>
    </w:p>
  </w:footnote>
  <w:footnote w:type="continuationSeparator" w:id="0">
    <w:p w14:paraId="69FA640D" w14:textId="77777777" w:rsidR="00F01193" w:rsidRDefault="00F011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F26857" w14:textId="77777777" w:rsidR="00A911B8" w:rsidRDefault="00A911B8">
    <w:pPr>
      <w:widowControl w:val="0"/>
      <w:pBdr>
        <w:top w:val="nil"/>
        <w:left w:val="nil"/>
        <w:bottom w:val="nil"/>
        <w:right w:val="nil"/>
        <w:between w:val="nil"/>
      </w:pBdr>
      <w:spacing w:after="0"/>
      <w:rPr>
        <w:rFonts w:ascii="Palatino Linotype" w:eastAsia="Palatino Linotype" w:hAnsi="Palatino Linotype" w:cs="Palatino Linotype"/>
        <w:sz w:val="24"/>
        <w:szCs w:val="24"/>
      </w:rPr>
    </w:pPr>
  </w:p>
  <w:tbl>
    <w:tblPr>
      <w:tblStyle w:val="a2"/>
      <w:tblW w:w="9026" w:type="dxa"/>
      <w:tblBorders>
        <w:top w:val="single" w:sz="4" w:space="0" w:color="000000"/>
        <w:left w:val="single" w:sz="4" w:space="0" w:color="000000"/>
        <w:bottom w:val="single" w:sz="18" w:space="0" w:color="808080"/>
        <w:right w:val="single" w:sz="4" w:space="0" w:color="000000"/>
        <w:insideH w:val="single" w:sz="4" w:space="0" w:color="000000"/>
        <w:insideV w:val="single" w:sz="18" w:space="0" w:color="808080"/>
      </w:tblBorders>
      <w:tblLayout w:type="fixed"/>
      <w:tblLook w:val="0400" w:firstRow="0" w:lastRow="0" w:firstColumn="0" w:lastColumn="0" w:noHBand="0" w:noVBand="1"/>
    </w:tblPr>
    <w:tblGrid>
      <w:gridCol w:w="7336"/>
      <w:gridCol w:w="1690"/>
    </w:tblGrid>
    <w:tr w:rsidR="00A911B8" w14:paraId="68103B24" w14:textId="77777777">
      <w:trPr>
        <w:trHeight w:val="280"/>
      </w:trPr>
      <w:tc>
        <w:tcPr>
          <w:tcW w:w="7336" w:type="dxa"/>
        </w:tcPr>
        <w:p w14:paraId="6B9986A7" w14:textId="77777777" w:rsidR="00A911B8" w:rsidRDefault="00F01193">
          <w:pPr>
            <w:pBdr>
              <w:top w:val="nil"/>
              <w:left w:val="nil"/>
              <w:bottom w:val="nil"/>
              <w:right w:val="nil"/>
              <w:between w:val="nil"/>
            </w:pBdr>
            <w:tabs>
              <w:tab w:val="center" w:pos="4513"/>
              <w:tab w:val="right" w:pos="9026"/>
            </w:tabs>
            <w:jc w:val="right"/>
            <w:rPr>
              <w:rFonts w:ascii="Cambria" w:eastAsia="Cambria" w:hAnsi="Cambria" w:cs="Cambria"/>
              <w:color w:val="000000"/>
              <w:sz w:val="36"/>
              <w:szCs w:val="36"/>
            </w:rPr>
          </w:pPr>
          <w:r>
            <w:rPr>
              <w:color w:val="000000"/>
              <w:sz w:val="36"/>
              <w:szCs w:val="36"/>
            </w:rPr>
            <w:t>New IB Psychology: SAQ Template</w:t>
          </w:r>
        </w:p>
      </w:tc>
      <w:tc>
        <w:tcPr>
          <w:tcW w:w="1690" w:type="dxa"/>
        </w:tcPr>
        <w:p w14:paraId="7BCFA595" w14:textId="77777777" w:rsidR="00A911B8" w:rsidRDefault="00F01193">
          <w:pPr>
            <w:pBdr>
              <w:top w:val="nil"/>
              <w:left w:val="nil"/>
              <w:bottom w:val="nil"/>
              <w:right w:val="nil"/>
              <w:between w:val="nil"/>
            </w:pBdr>
            <w:tabs>
              <w:tab w:val="center" w:pos="4513"/>
              <w:tab w:val="right" w:pos="9026"/>
            </w:tabs>
            <w:rPr>
              <w:rFonts w:ascii="Cambria" w:eastAsia="Cambria" w:hAnsi="Cambria" w:cs="Cambria"/>
              <w:b/>
              <w:color w:val="4F81BD"/>
              <w:sz w:val="36"/>
              <w:szCs w:val="36"/>
            </w:rPr>
          </w:pPr>
          <w:r>
            <w:rPr>
              <w:b/>
              <w:color w:val="4F81BD"/>
              <w:sz w:val="36"/>
              <w:szCs w:val="36"/>
            </w:rPr>
            <w:t>2019</w:t>
          </w:r>
        </w:p>
      </w:tc>
    </w:tr>
  </w:tbl>
  <w:p w14:paraId="51B9B137" w14:textId="77777777" w:rsidR="00A911B8" w:rsidRDefault="00A911B8">
    <w:pPr>
      <w:pBdr>
        <w:top w:val="nil"/>
        <w:left w:val="nil"/>
        <w:bottom w:val="nil"/>
        <w:right w:val="nil"/>
        <w:between w:val="nil"/>
      </w:pBdr>
      <w:tabs>
        <w:tab w:val="center" w:pos="4513"/>
        <w:tab w:val="right" w:pos="9026"/>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11B8"/>
    <w:rsid w:val="00444EEB"/>
    <w:rsid w:val="00A911B8"/>
    <w:rsid w:val="00F011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9DCC9"/>
  <w15:docId w15:val="{FAA286DB-6D37-471E-919F-E5FB482F7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72" w:type="dxa"/>
        <w:left w:w="115" w:type="dxa"/>
        <w:bottom w:w="72" w:type="dxa"/>
        <w:right w:w="115" w:type="dxa"/>
      </w:tblCellMar>
    </w:tblPr>
  </w:style>
  <w:style w:type="table" w:customStyle="1" w:styleId="a0">
    <w:basedOn w:val="TableNormal"/>
    <w:pPr>
      <w:spacing w:after="0" w:line="240" w:lineRule="auto"/>
    </w:pPr>
    <w:tblPr>
      <w:tblStyleRowBandSize w:val="1"/>
      <w:tblStyleColBandSize w:val="1"/>
      <w:tblCellMar>
        <w:top w:w="72" w:type="dxa"/>
        <w:left w:w="115" w:type="dxa"/>
        <w:bottom w:w="72" w:type="dxa"/>
        <w:right w:w="115" w:type="dxa"/>
      </w:tblCellMar>
    </w:tblPr>
  </w:style>
  <w:style w:type="table" w:customStyle="1" w:styleId="a1">
    <w:basedOn w:val="TableNormal"/>
    <w:pPr>
      <w:spacing w:after="0" w:line="240" w:lineRule="auto"/>
    </w:pPr>
    <w:tblPr>
      <w:tblStyleRowBandSize w:val="1"/>
      <w:tblStyleColBandSize w:val="1"/>
      <w:tblCellMar>
        <w:top w:w="72" w:type="dxa"/>
        <w:left w:w="115" w:type="dxa"/>
        <w:bottom w:w="72" w:type="dxa"/>
        <w:right w:w="115" w:type="dxa"/>
      </w:tblCellMar>
    </w:tblPr>
  </w:style>
  <w:style w:type="table" w:customStyle="1" w:styleId="a2">
    <w:basedOn w:val="TableNormal"/>
    <w:pPr>
      <w:spacing w:after="0" w:line="240" w:lineRule="auto"/>
    </w:pPr>
    <w:tblPr>
      <w:tblStyleRowBandSize w:val="1"/>
      <w:tblStyleColBandSize w:val="1"/>
      <w:tblCellMar>
        <w:top w:w="72" w:type="dxa"/>
        <w:left w:w="115" w:type="dxa"/>
        <w:bottom w:w="72"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810</Words>
  <Characters>4622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mandy wood</cp:lastModifiedBy>
  <cp:revision>2</cp:revision>
  <dcterms:created xsi:type="dcterms:W3CDTF">2019-09-05T08:18:00Z</dcterms:created>
  <dcterms:modified xsi:type="dcterms:W3CDTF">2019-09-05T08:18:00Z</dcterms:modified>
</cp:coreProperties>
</file>